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E9AC2" w14:textId="47F2A53C" w:rsidR="0048382E" w:rsidRDefault="0048382E" w:rsidP="0048382E">
      <w:pPr>
        <w:jc w:val="center"/>
        <w:rPr>
          <w:b/>
          <w:sz w:val="28"/>
          <w:szCs w:val="28"/>
        </w:rPr>
      </w:pPr>
      <w:r>
        <w:rPr>
          <w:b/>
          <w:sz w:val="28"/>
          <w:szCs w:val="28"/>
        </w:rPr>
        <w:t xml:space="preserve">                                                                                                                                                       </w:t>
      </w:r>
    </w:p>
    <w:p w14:paraId="4953D33A" w14:textId="77777777" w:rsidR="0048382E" w:rsidRDefault="0048382E" w:rsidP="0048382E">
      <w:pPr>
        <w:jc w:val="center"/>
      </w:pPr>
    </w:p>
    <w:p w14:paraId="2FDB2E3D" w14:textId="77777777" w:rsidR="0048382E" w:rsidRDefault="0048382E" w:rsidP="0048382E">
      <w:pPr>
        <w:tabs>
          <w:tab w:val="left" w:pos="1998"/>
          <w:tab w:val="center" w:pos="4365"/>
        </w:tabs>
      </w:pPr>
      <w:r>
        <w:tab/>
      </w:r>
      <w:r>
        <w:tab/>
        <w:t xml:space="preserve">                    </w:t>
      </w:r>
    </w:p>
    <w:p w14:paraId="0689AFA8" w14:textId="77777777" w:rsidR="0048382E" w:rsidRDefault="0048382E" w:rsidP="0048382E"/>
    <w:p w14:paraId="6B247D2C" w14:textId="77777777" w:rsidR="0048382E" w:rsidRDefault="0048382E" w:rsidP="0048382E">
      <w:pPr>
        <w:pStyle w:val="Header"/>
        <w:tabs>
          <w:tab w:val="clear" w:pos="4153"/>
          <w:tab w:val="clear" w:pos="8306"/>
        </w:tabs>
      </w:pPr>
      <w:r>
        <w:t xml:space="preserve"> </w:t>
      </w:r>
    </w:p>
    <w:p w14:paraId="71E2E336" w14:textId="77777777" w:rsidR="0048382E" w:rsidRDefault="0048382E" w:rsidP="0048382E"/>
    <w:p w14:paraId="283393EB" w14:textId="77777777" w:rsidR="0048382E" w:rsidRDefault="00EE44BD" w:rsidP="0048382E">
      <w:pPr>
        <w:jc w:val="center"/>
      </w:pPr>
      <w:r>
        <w:rPr>
          <w:b/>
          <w:sz w:val="20"/>
          <w:szCs w:val="52"/>
          <w:lang w:val="en-US" w:eastAsia="en-US"/>
        </w:rPr>
        <w:object w:dxaOrig="1440" w:dyaOrig="1440" w14:anchorId="33525E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224.25pt;margin-top:18.95pt;width:180pt;height:171.45pt;z-index:251659264;visibility:visible;mso-wrap-style:square;mso-position-horizontal-relative:text;mso-position-vertical-relative:text">
            <v:imagedata r:id="rId8" o:title=""/>
            <w10:wrap type="topAndBottom"/>
          </v:shape>
          <o:OLEObject Type="Embed" ProgID="PBrush" ShapeID="Object 2" DrawAspect="Content" ObjectID="_1736924562" r:id="rId9"/>
        </w:object>
      </w:r>
    </w:p>
    <w:p w14:paraId="5DBE573D" w14:textId="77777777" w:rsidR="0048382E" w:rsidRDefault="0048382E" w:rsidP="0048382E">
      <w:pPr>
        <w:tabs>
          <w:tab w:val="left" w:pos="1998"/>
          <w:tab w:val="center" w:pos="4365"/>
        </w:tabs>
      </w:pPr>
      <w:r>
        <w:tab/>
      </w:r>
      <w:r>
        <w:tab/>
        <w:t xml:space="preserve">              </w:t>
      </w:r>
    </w:p>
    <w:p w14:paraId="6A25BA31" w14:textId="16751E60" w:rsidR="0048382E" w:rsidRDefault="00BC7D87" w:rsidP="0048382E">
      <w:pPr>
        <w:rPr>
          <w:sz w:val="52"/>
          <w:szCs w:val="52"/>
        </w:rPr>
      </w:pPr>
      <w:r>
        <w:rPr>
          <w:b/>
          <w:noProof/>
          <w:sz w:val="28"/>
          <w:szCs w:val="28"/>
        </w:rPr>
        <w:t xml:space="preserve">                                                                                </w:t>
      </w:r>
      <w:bookmarkStart w:id="0" w:name="_GoBack"/>
      <w:r>
        <w:rPr>
          <w:b/>
          <w:noProof/>
          <w:sz w:val="28"/>
          <w:szCs w:val="28"/>
        </w:rPr>
        <w:drawing>
          <wp:inline distT="0" distB="0" distL="0" distR="0" wp14:anchorId="036C05DF" wp14:editId="453CCF06">
            <wp:extent cx="1628775" cy="1628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thody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8777" cy="1628777"/>
                    </a:xfrm>
                    <a:prstGeom prst="rect">
                      <a:avLst/>
                    </a:prstGeom>
                  </pic:spPr>
                </pic:pic>
              </a:graphicData>
            </a:graphic>
          </wp:inline>
        </w:drawing>
      </w:r>
      <w:bookmarkEnd w:id="0"/>
    </w:p>
    <w:p w14:paraId="4464CD61" w14:textId="77777777" w:rsidR="0048382E" w:rsidRDefault="0048382E" w:rsidP="0048382E">
      <w:pPr>
        <w:jc w:val="center"/>
        <w:rPr>
          <w:b/>
          <w:sz w:val="52"/>
          <w:szCs w:val="52"/>
        </w:rPr>
      </w:pPr>
    </w:p>
    <w:p w14:paraId="6A27EB6F" w14:textId="77777777" w:rsidR="0048382E" w:rsidRDefault="0048382E" w:rsidP="0048382E">
      <w:pPr>
        <w:jc w:val="center"/>
        <w:rPr>
          <w:b/>
          <w:sz w:val="52"/>
          <w:szCs w:val="52"/>
        </w:rPr>
      </w:pPr>
    </w:p>
    <w:p w14:paraId="1880026E" w14:textId="77777777" w:rsidR="0048382E" w:rsidRDefault="0048382E" w:rsidP="0048382E">
      <w:pPr>
        <w:pStyle w:val="Heading1"/>
        <w:jc w:val="center"/>
        <w:rPr>
          <w:bCs w:val="0"/>
          <w:sz w:val="52"/>
        </w:rPr>
      </w:pPr>
      <w:r>
        <w:rPr>
          <w:bCs w:val="0"/>
          <w:sz w:val="52"/>
        </w:rPr>
        <w:t>SAFER</w:t>
      </w:r>
    </w:p>
    <w:p w14:paraId="01E9E82B" w14:textId="77777777" w:rsidR="0048382E" w:rsidRDefault="0048382E" w:rsidP="0048382E">
      <w:pPr>
        <w:jc w:val="center"/>
        <w:rPr>
          <w:rFonts w:ascii="Arial" w:hAnsi="Arial" w:cs="Arial"/>
          <w:b/>
          <w:sz w:val="52"/>
        </w:rPr>
      </w:pPr>
      <w:r>
        <w:rPr>
          <w:rFonts w:ascii="Arial" w:hAnsi="Arial" w:cs="Arial"/>
          <w:b/>
          <w:sz w:val="52"/>
        </w:rPr>
        <w:t xml:space="preserve">RECRUITMENT </w:t>
      </w:r>
    </w:p>
    <w:p w14:paraId="057C6190" w14:textId="77777777" w:rsidR="0048382E" w:rsidRDefault="0048382E" w:rsidP="0048382E">
      <w:pPr>
        <w:jc w:val="center"/>
        <w:rPr>
          <w:rFonts w:ascii="Arial" w:hAnsi="Arial" w:cs="Arial"/>
          <w:b/>
          <w:sz w:val="52"/>
        </w:rPr>
      </w:pPr>
      <w:r>
        <w:rPr>
          <w:rFonts w:ascii="Arial" w:hAnsi="Arial" w:cs="Arial"/>
          <w:b/>
          <w:sz w:val="52"/>
        </w:rPr>
        <w:t>POLICY</w:t>
      </w:r>
    </w:p>
    <w:p w14:paraId="0FB77DAD" w14:textId="77777777" w:rsidR="0048382E" w:rsidRDefault="0048382E" w:rsidP="0048382E">
      <w:pPr>
        <w:jc w:val="center"/>
        <w:rPr>
          <w:b/>
          <w:sz w:val="52"/>
          <w:szCs w:val="52"/>
        </w:rPr>
      </w:pPr>
    </w:p>
    <w:p w14:paraId="0D5D0E56" w14:textId="77777777" w:rsidR="0048382E" w:rsidRDefault="0048382E" w:rsidP="0048382E">
      <w:pPr>
        <w:jc w:val="center"/>
        <w:rPr>
          <w:b/>
          <w:sz w:val="52"/>
          <w:szCs w:val="52"/>
        </w:rPr>
      </w:pPr>
    </w:p>
    <w:p w14:paraId="45FBC22F" w14:textId="77777777" w:rsidR="0048382E" w:rsidRDefault="0048382E" w:rsidP="0048382E">
      <w:pPr>
        <w:jc w:val="center"/>
        <w:rPr>
          <w:b/>
          <w:sz w:val="52"/>
          <w:szCs w:val="52"/>
        </w:rPr>
      </w:pPr>
    </w:p>
    <w:p w14:paraId="66556B76" w14:textId="77777777" w:rsidR="0048382E" w:rsidRDefault="0048382E" w:rsidP="0048382E">
      <w:pPr>
        <w:jc w:val="center"/>
        <w:rPr>
          <w:b/>
          <w:sz w:val="52"/>
          <w:szCs w:val="52"/>
        </w:rPr>
      </w:pPr>
    </w:p>
    <w:p w14:paraId="7608830D" w14:textId="77777777" w:rsidR="0048382E" w:rsidRDefault="0048382E" w:rsidP="0048382E">
      <w:pPr>
        <w:jc w:val="center"/>
        <w:rPr>
          <w:b/>
          <w:sz w:val="52"/>
          <w:szCs w:val="52"/>
        </w:rPr>
      </w:pPr>
    </w:p>
    <w:p w14:paraId="3F988D39" w14:textId="77777777" w:rsidR="0048382E" w:rsidRDefault="0048382E" w:rsidP="0048382E">
      <w:pPr>
        <w:jc w:val="center"/>
        <w:rPr>
          <w:b/>
          <w:sz w:val="52"/>
          <w:szCs w:val="52"/>
        </w:rPr>
      </w:pPr>
    </w:p>
    <w:p w14:paraId="5A6E9527" w14:textId="77777777" w:rsidR="0048382E" w:rsidRDefault="0048382E" w:rsidP="0048382E">
      <w:pPr>
        <w:pStyle w:val="Heading2"/>
        <w:jc w:val="center"/>
        <w:rPr>
          <w:u w:val="none"/>
        </w:rPr>
      </w:pPr>
      <w:r>
        <w:rPr>
          <w:u w:val="none"/>
        </w:rPr>
        <w:t>Human Resources Division</w:t>
      </w:r>
    </w:p>
    <w:p w14:paraId="5F5CE404" w14:textId="77777777" w:rsidR="0048382E" w:rsidRDefault="0048382E" w:rsidP="0048382E">
      <w:pPr>
        <w:jc w:val="center"/>
        <w:rPr>
          <w:rFonts w:ascii="Arial" w:hAnsi="Arial" w:cs="Arial"/>
          <w:b/>
        </w:rPr>
      </w:pPr>
      <w:r>
        <w:rPr>
          <w:rFonts w:ascii="Arial" w:hAnsi="Arial" w:cs="Arial"/>
          <w:b/>
        </w:rPr>
        <w:t xml:space="preserve">Directorate of Resources </w:t>
      </w:r>
    </w:p>
    <w:p w14:paraId="09A4480C" w14:textId="77777777" w:rsidR="0048382E" w:rsidRDefault="0048382E" w:rsidP="0048382E">
      <w:pPr>
        <w:jc w:val="center"/>
      </w:pPr>
      <w:r>
        <w:rPr>
          <w:rFonts w:ascii="Arial" w:hAnsi="Arial" w:cs="Arial"/>
          <w:b/>
        </w:rPr>
        <w:t>Cabinet Date 14</w:t>
      </w:r>
      <w:r>
        <w:rPr>
          <w:rFonts w:ascii="Arial" w:hAnsi="Arial" w:cs="Arial"/>
          <w:b/>
          <w:vertAlign w:val="superscript"/>
        </w:rPr>
        <w:t>th</w:t>
      </w:r>
      <w:r>
        <w:rPr>
          <w:rFonts w:ascii="Arial" w:hAnsi="Arial" w:cs="Arial"/>
          <w:b/>
        </w:rPr>
        <w:t xml:space="preserve"> January 2013</w:t>
      </w:r>
    </w:p>
    <w:p w14:paraId="7E6C989F" w14:textId="77777777" w:rsidR="0048382E" w:rsidRDefault="0048382E" w:rsidP="0048382E">
      <w:pPr>
        <w:jc w:val="center"/>
      </w:pPr>
      <w:r>
        <w:rPr>
          <w:rFonts w:ascii="Arial" w:hAnsi="Arial" w:cs="Arial"/>
          <w:b/>
        </w:rPr>
        <w:t>Implementation Date 1</w:t>
      </w:r>
      <w:r>
        <w:rPr>
          <w:rFonts w:ascii="Arial" w:hAnsi="Arial" w:cs="Arial"/>
          <w:b/>
          <w:vertAlign w:val="superscript"/>
        </w:rPr>
        <w:t>st</w:t>
      </w:r>
      <w:r>
        <w:rPr>
          <w:rFonts w:ascii="Arial" w:hAnsi="Arial" w:cs="Arial"/>
          <w:b/>
        </w:rPr>
        <w:t xml:space="preserve"> April 2013</w:t>
      </w:r>
    </w:p>
    <w:p w14:paraId="272808AB" w14:textId="333C9610" w:rsidR="0048382E" w:rsidRDefault="0048382E" w:rsidP="0048382E">
      <w:pPr>
        <w:jc w:val="center"/>
        <w:rPr>
          <w:rFonts w:ascii="Arial" w:hAnsi="Arial" w:cs="Arial"/>
          <w:b/>
        </w:rPr>
      </w:pPr>
      <w:r>
        <w:rPr>
          <w:rFonts w:ascii="Arial" w:hAnsi="Arial" w:cs="Arial"/>
          <w:b/>
        </w:rPr>
        <w:t>REVIEWED NOVEMBER 2014, OCTOBER 2015,</w:t>
      </w:r>
      <w:r w:rsidR="00F75338">
        <w:rPr>
          <w:rFonts w:ascii="Arial" w:hAnsi="Arial" w:cs="Arial"/>
          <w:b/>
        </w:rPr>
        <w:t xml:space="preserve"> AUGUST 2022</w:t>
      </w:r>
    </w:p>
    <w:p w14:paraId="45E15A2B" w14:textId="77777777" w:rsidR="0048382E" w:rsidRDefault="0048382E" w:rsidP="0048382E">
      <w:pPr>
        <w:jc w:val="center"/>
      </w:pPr>
      <w:r>
        <w:rPr>
          <w:noProof/>
          <w:sz w:val="20"/>
        </w:rPr>
        <w:drawing>
          <wp:inline distT="0" distB="0" distL="0" distR="0" wp14:anchorId="79EEAD66" wp14:editId="547F275A">
            <wp:extent cx="1080765" cy="854707"/>
            <wp:effectExtent l="0" t="0" r="5085" b="2543"/>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080765" cy="854707"/>
                    </a:xfrm>
                    <a:prstGeom prst="rect">
                      <a:avLst/>
                    </a:prstGeom>
                    <a:noFill/>
                    <a:ln>
                      <a:noFill/>
                      <a:prstDash/>
                    </a:ln>
                  </pic:spPr>
                </pic:pic>
              </a:graphicData>
            </a:graphic>
          </wp:inline>
        </w:drawing>
      </w:r>
    </w:p>
    <w:p w14:paraId="714CF97C" w14:textId="77777777" w:rsidR="0048382E" w:rsidRDefault="0048382E" w:rsidP="0048382E">
      <w:pPr>
        <w:jc w:val="both"/>
        <w:rPr>
          <w:rFonts w:ascii="Arial" w:hAnsi="Arial" w:cs="Arial"/>
          <w:b/>
          <w:u w:val="single"/>
        </w:rPr>
      </w:pPr>
    </w:p>
    <w:p w14:paraId="310C1065" w14:textId="77777777" w:rsidR="0048382E" w:rsidRDefault="0048382E" w:rsidP="0048382E">
      <w:pPr>
        <w:jc w:val="center"/>
        <w:rPr>
          <w:rFonts w:ascii="Arial" w:hAnsi="Arial" w:cs="Arial"/>
          <w:b/>
          <w:sz w:val="28"/>
          <w:szCs w:val="28"/>
          <w:u w:val="single"/>
        </w:rPr>
      </w:pPr>
      <w:r>
        <w:rPr>
          <w:rFonts w:ascii="Arial" w:hAnsi="Arial" w:cs="Arial"/>
          <w:b/>
          <w:sz w:val="28"/>
          <w:szCs w:val="28"/>
          <w:u w:val="single"/>
        </w:rPr>
        <w:t>SAFER RECRUITMENT POLICY</w:t>
      </w:r>
    </w:p>
    <w:p w14:paraId="36DDC065" w14:textId="77777777" w:rsidR="0048382E" w:rsidRDefault="0048382E" w:rsidP="0048382E">
      <w:pPr>
        <w:jc w:val="both"/>
        <w:rPr>
          <w:rFonts w:ascii="Arial" w:hAnsi="Arial" w:cs="Arial"/>
          <w:b/>
          <w:u w:val="single"/>
        </w:rPr>
      </w:pPr>
    </w:p>
    <w:p w14:paraId="742AA407" w14:textId="77777777" w:rsidR="0048382E" w:rsidRDefault="0048382E" w:rsidP="0048382E">
      <w:pPr>
        <w:jc w:val="center"/>
        <w:rPr>
          <w:rFonts w:ascii="Arial" w:hAnsi="Arial" w:cs="Arial"/>
          <w:b/>
        </w:rPr>
      </w:pPr>
      <w:r>
        <w:rPr>
          <w:rFonts w:ascii="Arial" w:hAnsi="Arial" w:cs="Arial"/>
          <w:b/>
        </w:rPr>
        <w:t>This document is also available in large print and other formats, upon request.</w:t>
      </w:r>
    </w:p>
    <w:p w14:paraId="22E3895F" w14:textId="77777777" w:rsidR="0048382E" w:rsidRDefault="0048382E" w:rsidP="0048382E">
      <w:pPr>
        <w:jc w:val="both"/>
        <w:rPr>
          <w:rFonts w:ascii="Arial" w:hAnsi="Arial" w:cs="Arial"/>
          <w:b/>
          <w:u w:val="single"/>
        </w:rPr>
      </w:pPr>
    </w:p>
    <w:p w14:paraId="0E19B97D" w14:textId="77777777" w:rsidR="0048382E" w:rsidRDefault="0048382E" w:rsidP="0048382E">
      <w:pPr>
        <w:jc w:val="both"/>
        <w:rPr>
          <w:rFonts w:ascii="Arial" w:hAnsi="Arial" w:cs="Arial"/>
        </w:rPr>
      </w:pPr>
    </w:p>
    <w:p w14:paraId="0BED97D3" w14:textId="77777777" w:rsidR="0048382E" w:rsidRDefault="0048382E" w:rsidP="0048382E">
      <w:pPr>
        <w:autoSpaceDE w:val="0"/>
        <w:ind w:left="720" w:hanging="720"/>
        <w:jc w:val="both"/>
        <w:rPr>
          <w:rFonts w:ascii="Arial" w:hAnsi="Arial" w:cs="Arial"/>
        </w:rPr>
      </w:pPr>
      <w:r>
        <w:rPr>
          <w:rFonts w:ascii="Arial" w:hAnsi="Arial" w:cs="Arial"/>
        </w:rPr>
        <w:t>1.1</w:t>
      </w:r>
      <w:r>
        <w:rPr>
          <w:rFonts w:ascii="Arial" w:hAnsi="Arial" w:cs="Arial"/>
        </w:rPr>
        <w:tab/>
        <w:t>This policy seeks to provide clear and robust arrangements for the safer recruitment of staff and workers who:</w:t>
      </w:r>
    </w:p>
    <w:p w14:paraId="34E641F6" w14:textId="77777777" w:rsidR="0048382E" w:rsidRDefault="0048382E" w:rsidP="0048382E">
      <w:pPr>
        <w:autoSpaceDE w:val="0"/>
        <w:ind w:left="720" w:hanging="720"/>
        <w:jc w:val="both"/>
        <w:rPr>
          <w:rFonts w:ascii="Arial" w:hAnsi="Arial" w:cs="Arial"/>
        </w:rPr>
      </w:pPr>
    </w:p>
    <w:p w14:paraId="007D38B6" w14:textId="6EF8D143" w:rsidR="0048382E" w:rsidRDefault="0048382E" w:rsidP="0048382E">
      <w:pPr>
        <w:numPr>
          <w:ilvl w:val="0"/>
          <w:numId w:val="1"/>
        </w:numPr>
        <w:autoSpaceDE w:val="0"/>
        <w:ind w:left="1080"/>
        <w:jc w:val="both"/>
      </w:pPr>
      <w:r>
        <w:rPr>
          <w:rFonts w:ascii="Arial" w:hAnsi="Arial" w:cs="Arial"/>
        </w:rPr>
        <w:t>are subject to either the pre or post September 2012 definition of</w:t>
      </w:r>
      <w:r w:rsidR="00BF7050">
        <w:rPr>
          <w:rFonts w:ascii="Arial" w:hAnsi="Arial" w:cs="Arial"/>
        </w:rPr>
        <w:t xml:space="preserve"> </w:t>
      </w:r>
      <w:hyperlink r:id="rId12" w:history="1">
        <w:r w:rsidR="00BF7050" w:rsidRPr="00BF7050">
          <w:rPr>
            <w:rStyle w:val="Hyperlink"/>
            <w:rFonts w:ascii="Arial" w:hAnsi="Arial" w:cs="Arial"/>
          </w:rPr>
          <w:t>regulated activity</w:t>
        </w:r>
      </w:hyperlink>
      <w:r>
        <w:rPr>
          <w:rFonts w:ascii="Arial" w:hAnsi="Arial" w:cs="Arial"/>
        </w:rPr>
        <w:t xml:space="preserve"> or</w:t>
      </w:r>
    </w:p>
    <w:p w14:paraId="5EF55663" w14:textId="77777777" w:rsidR="0048382E" w:rsidRDefault="0048382E" w:rsidP="0048382E">
      <w:pPr>
        <w:numPr>
          <w:ilvl w:val="0"/>
          <w:numId w:val="1"/>
        </w:numPr>
        <w:autoSpaceDE w:val="0"/>
        <w:ind w:left="1080"/>
        <w:jc w:val="both"/>
        <w:rPr>
          <w:rFonts w:ascii="Arial" w:hAnsi="Arial" w:cs="Arial"/>
        </w:rPr>
      </w:pPr>
      <w:r>
        <w:rPr>
          <w:rFonts w:ascii="Arial" w:hAnsi="Arial" w:cs="Arial"/>
        </w:rPr>
        <w:t xml:space="preserve">have access to information on children, young people and/or adults who require specific support due to their age, illness or disability.  </w:t>
      </w:r>
    </w:p>
    <w:p w14:paraId="04FFFD9E" w14:textId="77777777" w:rsidR="0048382E" w:rsidRDefault="0048382E" w:rsidP="0048382E">
      <w:pPr>
        <w:autoSpaceDE w:val="0"/>
        <w:ind w:left="1080" w:hanging="360"/>
        <w:jc w:val="both"/>
        <w:rPr>
          <w:rFonts w:ascii="Arial" w:hAnsi="Arial" w:cs="Arial"/>
        </w:rPr>
      </w:pPr>
    </w:p>
    <w:p w14:paraId="6BB159AF" w14:textId="77777777" w:rsidR="0048382E" w:rsidRDefault="0048382E" w:rsidP="0048382E">
      <w:pPr>
        <w:autoSpaceDE w:val="0"/>
        <w:ind w:left="720"/>
        <w:jc w:val="both"/>
        <w:rPr>
          <w:rFonts w:ascii="Arial" w:hAnsi="Arial" w:cs="Arial"/>
        </w:rPr>
      </w:pPr>
      <w:r>
        <w:rPr>
          <w:rFonts w:ascii="Arial" w:hAnsi="Arial" w:cs="Arial"/>
        </w:rPr>
        <w:t>For all other positions, pre-employment checks remain integral to the recruitment process, details of which are outlined in the recruitment and selection policy.</w:t>
      </w:r>
    </w:p>
    <w:p w14:paraId="0DCA6CC3" w14:textId="77777777" w:rsidR="0048382E" w:rsidRDefault="0048382E" w:rsidP="0048382E">
      <w:pPr>
        <w:autoSpaceDE w:val="0"/>
        <w:jc w:val="both"/>
        <w:rPr>
          <w:rFonts w:ascii="Arial" w:hAnsi="Arial" w:cs="Arial"/>
        </w:rPr>
      </w:pPr>
    </w:p>
    <w:p w14:paraId="29BB34C1" w14:textId="77777777" w:rsidR="0048382E" w:rsidRDefault="0048382E" w:rsidP="0048382E">
      <w:pPr>
        <w:autoSpaceDE w:val="0"/>
        <w:ind w:left="720" w:hanging="720"/>
        <w:jc w:val="both"/>
      </w:pPr>
      <w:r>
        <w:rPr>
          <w:rFonts w:ascii="Arial" w:hAnsi="Arial" w:cs="Arial"/>
        </w:rPr>
        <w:t>1.2</w:t>
      </w:r>
      <w:r>
        <w:rPr>
          <w:rFonts w:ascii="Arial" w:hAnsi="Arial" w:cs="Arial"/>
        </w:rPr>
        <w:tab/>
        <w:t>This policy refers to safeguarding pre-employment checks but does not replace the need for other pre-employment checks which must still be carried out as part of the appointment process.</w:t>
      </w:r>
      <w:r>
        <w:rPr>
          <w:rFonts w:ascii="Arial" w:hAnsi="Arial" w:cs="Arial"/>
          <w:color w:val="008000"/>
        </w:rPr>
        <w:t xml:space="preserve">  </w:t>
      </w:r>
      <w:r>
        <w:rPr>
          <w:rFonts w:ascii="Arial" w:hAnsi="Arial" w:cs="Arial"/>
        </w:rPr>
        <w:t xml:space="preserve">This includes medical clearance and confirmation of the right to work in the United Kingdom which must be received prior to starting employment.   </w:t>
      </w:r>
    </w:p>
    <w:p w14:paraId="0DE3A7A2" w14:textId="77777777" w:rsidR="0048382E" w:rsidRDefault="0048382E" w:rsidP="0048382E">
      <w:pPr>
        <w:autoSpaceDE w:val="0"/>
        <w:ind w:left="720" w:hanging="720"/>
        <w:jc w:val="both"/>
        <w:rPr>
          <w:rFonts w:ascii="Arial" w:hAnsi="Arial" w:cs="Arial"/>
        </w:rPr>
      </w:pPr>
    </w:p>
    <w:p w14:paraId="71A2AB52" w14:textId="77777777" w:rsidR="0048382E" w:rsidRDefault="0048382E" w:rsidP="0048382E">
      <w:pPr>
        <w:autoSpaceDE w:val="0"/>
        <w:ind w:left="720" w:hanging="720"/>
        <w:jc w:val="both"/>
        <w:rPr>
          <w:rFonts w:ascii="Arial" w:hAnsi="Arial" w:cs="Arial"/>
        </w:rPr>
      </w:pPr>
      <w:r>
        <w:rPr>
          <w:rFonts w:ascii="Arial" w:hAnsi="Arial" w:cs="Arial"/>
        </w:rPr>
        <w:t>1.3</w:t>
      </w:r>
      <w:r>
        <w:rPr>
          <w:rFonts w:ascii="Arial" w:hAnsi="Arial" w:cs="Arial"/>
        </w:rPr>
        <w:tab/>
        <w:t>This policy sets out the standards expected of all managers, Head Teachers and Governors in relation to safer recruitment and must be applied in accordance with the safeguarding policy guidance document and associated policies:</w:t>
      </w:r>
    </w:p>
    <w:p w14:paraId="08934ED8" w14:textId="77777777" w:rsidR="0048382E" w:rsidRDefault="0048382E" w:rsidP="0048382E">
      <w:pPr>
        <w:autoSpaceDE w:val="0"/>
        <w:ind w:left="720" w:hanging="720"/>
        <w:jc w:val="both"/>
        <w:rPr>
          <w:rFonts w:ascii="Arial" w:hAnsi="Arial" w:cs="Arial"/>
        </w:rPr>
      </w:pPr>
    </w:p>
    <w:p w14:paraId="1644773C" w14:textId="77777777" w:rsidR="0048382E" w:rsidRDefault="0048382E" w:rsidP="0048382E">
      <w:pPr>
        <w:numPr>
          <w:ilvl w:val="0"/>
          <w:numId w:val="2"/>
        </w:numPr>
        <w:ind w:left="1080"/>
        <w:jc w:val="both"/>
        <w:rPr>
          <w:rFonts w:ascii="Arial" w:hAnsi="Arial" w:cs="Arial"/>
        </w:rPr>
      </w:pPr>
      <w:r>
        <w:rPr>
          <w:rFonts w:ascii="Arial" w:hAnsi="Arial" w:cs="Arial"/>
        </w:rPr>
        <w:t>Recruitment and Selection Policy.</w:t>
      </w:r>
    </w:p>
    <w:p w14:paraId="5B9EE634" w14:textId="77777777" w:rsidR="0048382E" w:rsidRDefault="0048382E" w:rsidP="0048382E">
      <w:pPr>
        <w:numPr>
          <w:ilvl w:val="0"/>
          <w:numId w:val="2"/>
        </w:numPr>
        <w:ind w:left="1080"/>
        <w:jc w:val="both"/>
        <w:rPr>
          <w:rFonts w:ascii="Arial" w:hAnsi="Arial" w:cs="Arial"/>
        </w:rPr>
      </w:pPr>
      <w:r>
        <w:rPr>
          <w:rFonts w:ascii="Arial" w:hAnsi="Arial" w:cs="Arial"/>
        </w:rPr>
        <w:t>Child/Adult Protection policies.</w:t>
      </w:r>
    </w:p>
    <w:p w14:paraId="79F23593" w14:textId="77777777" w:rsidR="0048382E" w:rsidRDefault="0048382E" w:rsidP="0048382E">
      <w:pPr>
        <w:numPr>
          <w:ilvl w:val="0"/>
          <w:numId w:val="2"/>
        </w:numPr>
        <w:ind w:left="1080"/>
        <w:jc w:val="both"/>
        <w:rPr>
          <w:rFonts w:ascii="Arial" w:hAnsi="Arial" w:cs="Arial"/>
        </w:rPr>
      </w:pPr>
      <w:r>
        <w:rPr>
          <w:rFonts w:ascii="Arial" w:hAnsi="Arial" w:cs="Arial"/>
        </w:rPr>
        <w:t>GDPR guidelines/policies.</w:t>
      </w:r>
    </w:p>
    <w:p w14:paraId="5BFE3CB1" w14:textId="77777777" w:rsidR="0048382E" w:rsidRDefault="0048382E" w:rsidP="0048382E">
      <w:pPr>
        <w:numPr>
          <w:ilvl w:val="0"/>
          <w:numId w:val="2"/>
        </w:numPr>
        <w:ind w:left="1080"/>
        <w:jc w:val="both"/>
        <w:rPr>
          <w:rFonts w:ascii="Arial" w:hAnsi="Arial" w:cs="Arial"/>
        </w:rPr>
      </w:pPr>
      <w:r>
        <w:rPr>
          <w:rFonts w:ascii="Arial" w:hAnsi="Arial" w:cs="Arial"/>
        </w:rPr>
        <w:t xml:space="preserve">Disclosure and Barring Service (DBS) Policy and supporting guidelines </w:t>
      </w:r>
    </w:p>
    <w:p w14:paraId="436B288B" w14:textId="77777777" w:rsidR="0048382E" w:rsidRDefault="0048382E" w:rsidP="0048382E">
      <w:pPr>
        <w:numPr>
          <w:ilvl w:val="0"/>
          <w:numId w:val="2"/>
        </w:numPr>
        <w:autoSpaceDE w:val="0"/>
        <w:ind w:left="1080"/>
        <w:jc w:val="both"/>
        <w:rPr>
          <w:rFonts w:ascii="Arial" w:hAnsi="Arial" w:cs="Arial"/>
        </w:rPr>
      </w:pPr>
      <w:r>
        <w:rPr>
          <w:rFonts w:ascii="Arial" w:hAnsi="Arial" w:cs="Arial"/>
        </w:rPr>
        <w:t>Disclosure and Barring Service (DBS) Code of Practice.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0FF38F6" w14:textId="77777777" w:rsidR="0048382E" w:rsidRDefault="0048382E" w:rsidP="0048382E">
      <w:pPr>
        <w:autoSpaceDE w:val="0"/>
        <w:ind w:left="360"/>
        <w:jc w:val="both"/>
        <w:rPr>
          <w:rFonts w:ascii="Arial" w:hAnsi="Arial" w:cs="Arial"/>
        </w:rPr>
      </w:pPr>
      <w:r>
        <w:rPr>
          <w:rFonts w:ascii="Arial" w:hAnsi="Arial" w:cs="Arial"/>
        </w:rPr>
        <w:tab/>
      </w:r>
    </w:p>
    <w:p w14:paraId="5A38EE63" w14:textId="77777777" w:rsidR="0048382E" w:rsidRDefault="0048382E" w:rsidP="0048382E">
      <w:pPr>
        <w:numPr>
          <w:ilvl w:val="1"/>
          <w:numId w:val="3"/>
        </w:numPr>
        <w:tabs>
          <w:tab w:val="left" w:pos="720"/>
        </w:tabs>
        <w:autoSpaceDE w:val="0"/>
        <w:ind w:left="720" w:hanging="720"/>
        <w:jc w:val="both"/>
        <w:rPr>
          <w:rFonts w:ascii="Arial" w:hAnsi="Arial" w:cs="Arial"/>
        </w:rPr>
      </w:pPr>
      <w:r>
        <w:rPr>
          <w:rFonts w:ascii="Arial" w:hAnsi="Arial" w:cs="Arial"/>
        </w:rPr>
        <w:t xml:space="preserve">This policy will primarily apply to the recruitment of all employees whether on a permanent, temporary, casual, relief or supply basis. </w:t>
      </w:r>
    </w:p>
    <w:p w14:paraId="551E2E92" w14:textId="77777777" w:rsidR="0048382E" w:rsidRDefault="0048382E" w:rsidP="0048382E">
      <w:pPr>
        <w:autoSpaceDE w:val="0"/>
        <w:jc w:val="both"/>
        <w:rPr>
          <w:rFonts w:ascii="Arial" w:hAnsi="Arial" w:cs="Arial"/>
        </w:rPr>
      </w:pPr>
    </w:p>
    <w:p w14:paraId="01ED7DD8" w14:textId="77777777" w:rsidR="0048382E" w:rsidRDefault="0048382E" w:rsidP="0048382E">
      <w:pPr>
        <w:numPr>
          <w:ilvl w:val="1"/>
          <w:numId w:val="3"/>
        </w:numPr>
        <w:tabs>
          <w:tab w:val="left" w:pos="720"/>
        </w:tabs>
        <w:autoSpaceDE w:val="0"/>
        <w:ind w:left="720" w:hanging="720"/>
        <w:jc w:val="both"/>
        <w:rPr>
          <w:rFonts w:ascii="Arial" w:hAnsi="Arial" w:cs="Arial"/>
        </w:rPr>
      </w:pPr>
      <w:r>
        <w:rPr>
          <w:rFonts w:ascii="Arial" w:hAnsi="Arial" w:cs="Arial"/>
        </w:rPr>
        <w:t xml:space="preserve">This policy and its supporting documents also cover arrangements for the engagement/recruitment of volunteers, contractors and agency workers. </w:t>
      </w:r>
    </w:p>
    <w:p w14:paraId="0F01830A" w14:textId="77777777" w:rsidR="0048382E" w:rsidRDefault="0048382E" w:rsidP="0048382E">
      <w:pPr>
        <w:autoSpaceDE w:val="0"/>
        <w:jc w:val="both"/>
        <w:rPr>
          <w:rFonts w:ascii="Arial" w:hAnsi="Arial" w:cs="Arial"/>
        </w:rPr>
      </w:pPr>
    </w:p>
    <w:p w14:paraId="480CD99F" w14:textId="77777777" w:rsidR="0048382E" w:rsidRDefault="0048382E" w:rsidP="0048382E">
      <w:pPr>
        <w:numPr>
          <w:ilvl w:val="1"/>
          <w:numId w:val="3"/>
        </w:numPr>
        <w:tabs>
          <w:tab w:val="left" w:pos="720"/>
        </w:tabs>
        <w:autoSpaceDE w:val="0"/>
        <w:ind w:left="720" w:hanging="720"/>
        <w:jc w:val="both"/>
        <w:rPr>
          <w:rFonts w:ascii="Arial" w:hAnsi="Arial" w:cs="Arial"/>
        </w:rPr>
      </w:pPr>
      <w:r>
        <w:rPr>
          <w:rFonts w:ascii="Arial" w:hAnsi="Arial" w:cs="Arial"/>
        </w:rPr>
        <w:t>A separate policy statement exists for School Governors.</w:t>
      </w:r>
    </w:p>
    <w:p w14:paraId="30058214" w14:textId="77777777" w:rsidR="0048382E" w:rsidRDefault="0048382E" w:rsidP="0048382E">
      <w:pPr>
        <w:autoSpaceDE w:val="0"/>
        <w:jc w:val="both"/>
        <w:rPr>
          <w:rFonts w:ascii="Arial" w:hAnsi="Arial" w:cs="Arial"/>
        </w:rPr>
      </w:pPr>
    </w:p>
    <w:p w14:paraId="5E5C0085" w14:textId="77777777" w:rsidR="0048382E" w:rsidRDefault="0048382E" w:rsidP="0048382E">
      <w:pPr>
        <w:numPr>
          <w:ilvl w:val="1"/>
          <w:numId w:val="3"/>
        </w:numPr>
        <w:tabs>
          <w:tab w:val="left" w:pos="720"/>
        </w:tabs>
        <w:autoSpaceDE w:val="0"/>
        <w:ind w:left="720" w:hanging="720"/>
        <w:jc w:val="both"/>
        <w:rPr>
          <w:rFonts w:ascii="Arial" w:hAnsi="Arial" w:cs="Arial"/>
        </w:rPr>
      </w:pPr>
      <w:r>
        <w:rPr>
          <w:rFonts w:ascii="Arial" w:hAnsi="Arial" w:cs="Arial"/>
        </w:rPr>
        <w:t>For the purpose of this policy the term recruiting manager refers to the individual who is responsible for dealing with the recruitment and selection process.</w:t>
      </w:r>
    </w:p>
    <w:p w14:paraId="0A8CE48F" w14:textId="77777777" w:rsidR="0048382E" w:rsidRDefault="0048382E" w:rsidP="0048382E">
      <w:pPr>
        <w:pStyle w:val="ListParagraph"/>
        <w:rPr>
          <w:rFonts w:ascii="Arial" w:hAnsi="Arial" w:cs="Arial"/>
        </w:rPr>
      </w:pPr>
    </w:p>
    <w:p w14:paraId="5A28E730" w14:textId="77777777" w:rsidR="0048382E" w:rsidRDefault="0048382E" w:rsidP="0048382E">
      <w:pPr>
        <w:numPr>
          <w:ilvl w:val="1"/>
          <w:numId w:val="3"/>
        </w:numPr>
        <w:tabs>
          <w:tab w:val="left" w:pos="720"/>
        </w:tabs>
        <w:autoSpaceDE w:val="0"/>
        <w:ind w:left="720" w:hanging="720"/>
        <w:jc w:val="both"/>
      </w:pPr>
      <w:r>
        <w:rPr>
          <w:rFonts w:ascii="Arial" w:hAnsi="Arial" w:cs="Arial"/>
        </w:rPr>
        <w:lastRenderedPageBreak/>
        <w:t xml:space="preserve">Further guidance in relation to this policy is available from your </w:t>
      </w:r>
      <w:hyperlink r:id="rId13" w:history="1">
        <w:r>
          <w:rPr>
            <w:rStyle w:val="Hyperlink"/>
            <w:rFonts w:ascii="Arial" w:hAnsi="Arial" w:cs="Arial"/>
          </w:rPr>
          <w:t>Directorate Safeguarding Officer</w:t>
        </w:r>
      </w:hyperlink>
      <w:r>
        <w:rPr>
          <w:rFonts w:ascii="Arial" w:hAnsi="Arial" w:cs="Arial"/>
        </w:rPr>
        <w:t xml:space="preserve">, HR Business Partner and the safer recruitment guidelines.  </w:t>
      </w:r>
    </w:p>
    <w:p w14:paraId="6E3A00D7" w14:textId="77777777" w:rsidR="0048382E" w:rsidRDefault="0048382E" w:rsidP="0048382E">
      <w:pPr>
        <w:jc w:val="both"/>
        <w:rPr>
          <w:rFonts w:ascii="Arial" w:hAnsi="Arial" w:cs="Arial"/>
        </w:rPr>
      </w:pPr>
    </w:p>
    <w:p w14:paraId="4AA42190" w14:textId="77777777" w:rsidR="00E4375A" w:rsidRDefault="00E4375A" w:rsidP="00E4375A">
      <w:pPr>
        <w:pStyle w:val="ListParagraph"/>
        <w:numPr>
          <w:ilvl w:val="1"/>
          <w:numId w:val="3"/>
        </w:numPr>
        <w:jc w:val="both"/>
        <w:rPr>
          <w:rFonts w:ascii="Arial" w:hAnsi="Arial" w:cs="Arial"/>
        </w:rPr>
      </w:pPr>
      <w:r>
        <w:rPr>
          <w:rFonts w:ascii="Arial" w:hAnsi="Arial" w:cs="Arial"/>
        </w:rPr>
        <w:t xml:space="preserve">     </w:t>
      </w:r>
      <w:r w:rsidR="0048382E" w:rsidRPr="00E4375A">
        <w:rPr>
          <w:rFonts w:ascii="Arial" w:hAnsi="Arial" w:cs="Arial"/>
        </w:rPr>
        <w:t xml:space="preserve">Failure to apply the safer recruitment standards as outlined in this policy may be regarded as a disciplinary </w:t>
      </w:r>
      <w:r>
        <w:rPr>
          <w:rFonts w:ascii="Arial" w:hAnsi="Arial" w:cs="Arial"/>
        </w:rPr>
        <w:t xml:space="preserve">   </w:t>
      </w:r>
    </w:p>
    <w:p w14:paraId="18F9F896" w14:textId="20431709" w:rsidR="0048382E" w:rsidRPr="00E4375A" w:rsidRDefault="00E4375A" w:rsidP="00E4375A">
      <w:pPr>
        <w:jc w:val="both"/>
        <w:rPr>
          <w:rFonts w:ascii="Arial" w:hAnsi="Arial" w:cs="Arial"/>
        </w:rPr>
      </w:pPr>
      <w:r>
        <w:rPr>
          <w:rFonts w:ascii="Arial" w:hAnsi="Arial" w:cs="Arial"/>
        </w:rPr>
        <w:t xml:space="preserve">         </w:t>
      </w:r>
      <w:r w:rsidRPr="00E4375A">
        <w:rPr>
          <w:rFonts w:ascii="Arial" w:hAnsi="Arial" w:cs="Arial"/>
        </w:rPr>
        <w:t xml:space="preserve"> </w:t>
      </w:r>
      <w:r w:rsidR="0048382E" w:rsidRPr="00E4375A">
        <w:rPr>
          <w:rFonts w:ascii="Arial" w:hAnsi="Arial" w:cs="Arial"/>
        </w:rPr>
        <w:t>matter.</w:t>
      </w:r>
    </w:p>
    <w:p w14:paraId="18BE96F0" w14:textId="120B0EE8" w:rsidR="000F7046" w:rsidRDefault="000F7046" w:rsidP="0048382E">
      <w:pPr>
        <w:jc w:val="both"/>
        <w:rPr>
          <w:rFonts w:ascii="Arial" w:hAnsi="Arial" w:cs="Arial"/>
        </w:rPr>
      </w:pPr>
    </w:p>
    <w:p w14:paraId="4D4784D7" w14:textId="50F4E9EE" w:rsidR="000F7046" w:rsidRDefault="000F7046" w:rsidP="0048382E">
      <w:pPr>
        <w:jc w:val="both"/>
        <w:rPr>
          <w:rFonts w:ascii="Arial" w:hAnsi="Arial" w:cs="Arial"/>
        </w:rPr>
      </w:pPr>
    </w:p>
    <w:p w14:paraId="5EBF3570" w14:textId="77777777" w:rsidR="000F7046" w:rsidRDefault="000F7046" w:rsidP="0048382E">
      <w:pPr>
        <w:jc w:val="both"/>
        <w:rPr>
          <w:rFonts w:ascii="Arial" w:hAnsi="Arial" w:cs="Arial"/>
        </w:rPr>
      </w:pPr>
    </w:p>
    <w:p w14:paraId="48C242BF" w14:textId="4A682775" w:rsidR="0048382E" w:rsidRDefault="0048382E" w:rsidP="0048382E">
      <w:pPr>
        <w:jc w:val="both"/>
        <w:rPr>
          <w:rFonts w:ascii="Arial" w:hAnsi="Arial" w:cs="Arial"/>
          <w:b/>
          <w:u w:val="single"/>
        </w:rPr>
      </w:pPr>
      <w:r>
        <w:rPr>
          <w:rFonts w:ascii="Arial" w:hAnsi="Arial" w:cs="Arial"/>
          <w:b/>
          <w:u w:val="single"/>
        </w:rPr>
        <w:t>Safer Recruitment Standards</w:t>
      </w:r>
    </w:p>
    <w:p w14:paraId="5F877253" w14:textId="77777777" w:rsidR="0048382E" w:rsidRDefault="0048382E" w:rsidP="0048382E">
      <w:pPr>
        <w:jc w:val="both"/>
        <w:rPr>
          <w:rFonts w:ascii="Arial" w:hAnsi="Arial" w:cs="Arial"/>
          <w:u w:val="single"/>
        </w:rPr>
      </w:pPr>
    </w:p>
    <w:p w14:paraId="6A39CB4B" w14:textId="77777777" w:rsidR="0048382E" w:rsidRDefault="0048382E" w:rsidP="0048382E">
      <w:pPr>
        <w:jc w:val="both"/>
      </w:pPr>
      <w:r>
        <w:rPr>
          <w:rFonts w:ascii="Arial" w:hAnsi="Arial" w:cs="Arial"/>
          <w:b/>
        </w:rPr>
        <w:t>2.0</w:t>
      </w:r>
      <w:r>
        <w:rPr>
          <w:rFonts w:ascii="Arial" w:hAnsi="Arial" w:cs="Arial"/>
          <w:b/>
        </w:rPr>
        <w:tab/>
      </w:r>
      <w:r>
        <w:rPr>
          <w:rFonts w:ascii="Arial" w:hAnsi="Arial" w:cs="Arial"/>
          <w:b/>
          <w:u w:val="single"/>
        </w:rPr>
        <w:t>References</w:t>
      </w:r>
    </w:p>
    <w:p w14:paraId="4638E0BA" w14:textId="77777777" w:rsidR="0048382E" w:rsidRDefault="0048382E" w:rsidP="0048382E">
      <w:pPr>
        <w:jc w:val="both"/>
        <w:rPr>
          <w:rFonts w:ascii="Arial" w:hAnsi="Arial" w:cs="Arial"/>
        </w:rPr>
      </w:pPr>
    </w:p>
    <w:p w14:paraId="0F12094E" w14:textId="77777777" w:rsidR="0048382E" w:rsidRDefault="0048382E" w:rsidP="0048382E">
      <w:pPr>
        <w:ind w:left="720" w:hanging="720"/>
        <w:jc w:val="both"/>
      </w:pPr>
      <w:r>
        <w:rPr>
          <w:rFonts w:ascii="Arial" w:hAnsi="Arial" w:cs="Arial"/>
        </w:rPr>
        <w:t>2.1</w:t>
      </w:r>
      <w:r>
        <w:rPr>
          <w:rFonts w:ascii="Arial" w:hAnsi="Arial" w:cs="Arial"/>
        </w:rPr>
        <w:tab/>
        <w:t xml:space="preserve">Appointments must be subject to the receipt of appropriate and satisfactory references which must be received </w:t>
      </w:r>
      <w:r>
        <w:rPr>
          <w:rFonts w:ascii="Arial" w:hAnsi="Arial" w:cs="Arial"/>
          <w:b/>
        </w:rPr>
        <w:t>prior</w:t>
      </w:r>
      <w:r>
        <w:rPr>
          <w:rFonts w:ascii="Arial" w:hAnsi="Arial" w:cs="Arial"/>
        </w:rPr>
        <w:t xml:space="preserve"> to the applicant commencing work. </w:t>
      </w:r>
    </w:p>
    <w:p w14:paraId="41FB9E9F" w14:textId="77777777" w:rsidR="0048382E" w:rsidRDefault="0048382E" w:rsidP="0048382E">
      <w:pPr>
        <w:ind w:left="720" w:hanging="720"/>
        <w:jc w:val="both"/>
        <w:rPr>
          <w:rFonts w:ascii="Arial" w:hAnsi="Arial" w:cs="Arial"/>
        </w:rPr>
      </w:pPr>
    </w:p>
    <w:p w14:paraId="6D0116D2" w14:textId="662FCAC5" w:rsidR="0048382E" w:rsidRDefault="0048382E" w:rsidP="0048382E">
      <w:pPr>
        <w:ind w:left="720" w:hanging="720"/>
        <w:jc w:val="both"/>
        <w:rPr>
          <w:rFonts w:ascii="Arial" w:hAnsi="Arial" w:cs="Arial"/>
        </w:rPr>
      </w:pPr>
      <w:r>
        <w:rPr>
          <w:rFonts w:ascii="Arial" w:hAnsi="Arial" w:cs="Arial"/>
        </w:rPr>
        <w:t>2.2</w:t>
      </w:r>
      <w:r>
        <w:rPr>
          <w:rFonts w:ascii="Arial" w:hAnsi="Arial" w:cs="Arial"/>
        </w:rPr>
        <w:tab/>
        <w:t>If the applicant is an internal candidate (</w:t>
      </w:r>
      <w:r w:rsidR="000F7046">
        <w:rPr>
          <w:rFonts w:ascii="Arial" w:hAnsi="Arial" w:cs="Arial"/>
        </w:rPr>
        <w:t>i.e., currently</w:t>
      </w:r>
      <w:r>
        <w:rPr>
          <w:rFonts w:ascii="Arial" w:hAnsi="Arial" w:cs="Arial"/>
        </w:rPr>
        <w:t xml:space="preserve"> works in a similar role and with a similar client base) references are not required providing there are a minimum of two satisfactory references held on the employees HR file which are appropriate to the role applied for. </w:t>
      </w:r>
    </w:p>
    <w:p w14:paraId="5DD5670E" w14:textId="77777777" w:rsidR="0048382E" w:rsidRDefault="0048382E" w:rsidP="0048382E">
      <w:pPr>
        <w:ind w:left="720" w:hanging="720"/>
        <w:jc w:val="both"/>
        <w:rPr>
          <w:rFonts w:ascii="Arial" w:hAnsi="Arial" w:cs="Arial"/>
        </w:rPr>
      </w:pPr>
    </w:p>
    <w:p w14:paraId="5EDF6C29" w14:textId="3833F42C" w:rsidR="0048382E" w:rsidRDefault="0048382E" w:rsidP="0048382E">
      <w:pPr>
        <w:ind w:left="720" w:hanging="720"/>
        <w:jc w:val="both"/>
      </w:pPr>
      <w:r>
        <w:rPr>
          <w:rFonts w:ascii="Arial" w:hAnsi="Arial" w:cs="Arial"/>
        </w:rPr>
        <w:t xml:space="preserve">2.3    If the applicant is an external </w:t>
      </w:r>
      <w:r w:rsidR="00B879E5">
        <w:rPr>
          <w:rFonts w:ascii="Arial" w:hAnsi="Arial" w:cs="Arial"/>
        </w:rPr>
        <w:t>candidate or</w:t>
      </w:r>
      <w:r>
        <w:rPr>
          <w:rFonts w:ascii="Arial" w:hAnsi="Arial" w:cs="Arial"/>
        </w:rPr>
        <w:t xml:space="preserve"> does not meet the definition and requirements outlined in 2.2, a minimum of </w:t>
      </w:r>
      <w:r>
        <w:rPr>
          <w:rFonts w:ascii="Arial" w:hAnsi="Arial" w:cs="Arial"/>
          <w:b/>
        </w:rPr>
        <w:t xml:space="preserve">two </w:t>
      </w:r>
      <w:r>
        <w:rPr>
          <w:rFonts w:ascii="Arial" w:hAnsi="Arial" w:cs="Arial"/>
        </w:rPr>
        <w:t xml:space="preserve">references must be obtained prior to the applicant commencing work.  At least one reference must be from the current employer.    Please refer to the Safer Recruitment Guidance if the applicant has no previous employment or is a school/college leaver.  </w:t>
      </w:r>
    </w:p>
    <w:p w14:paraId="3C454633" w14:textId="77777777" w:rsidR="0048382E" w:rsidRDefault="0048382E" w:rsidP="0048382E">
      <w:pPr>
        <w:jc w:val="both"/>
        <w:rPr>
          <w:rFonts w:ascii="Arial" w:hAnsi="Arial" w:cs="Arial"/>
        </w:rPr>
      </w:pPr>
    </w:p>
    <w:p w14:paraId="48A2DC2F" w14:textId="32CE4D04" w:rsidR="0048382E" w:rsidRDefault="0048382E" w:rsidP="0048382E">
      <w:pPr>
        <w:ind w:left="720" w:hanging="720"/>
        <w:jc w:val="both"/>
        <w:rPr>
          <w:rFonts w:ascii="Arial" w:hAnsi="Arial" w:cs="Arial"/>
        </w:rPr>
      </w:pPr>
      <w:r>
        <w:rPr>
          <w:rFonts w:ascii="Arial" w:hAnsi="Arial" w:cs="Arial"/>
        </w:rPr>
        <w:t xml:space="preserve">2.4   </w:t>
      </w:r>
      <w:r>
        <w:rPr>
          <w:rFonts w:ascii="Arial" w:hAnsi="Arial" w:cs="Arial"/>
        </w:rPr>
        <w:tab/>
        <w:t>References which are received for positions either governed by the Care Inspectorate Wales, requiring registration with Social Care Wales or within the Council’s Directorate of Social Services must be followed up by the recruiting manager by telephone to confirm the source and content of the references.</w:t>
      </w:r>
      <w:r w:rsidR="008416D5">
        <w:rPr>
          <w:rFonts w:ascii="Arial" w:hAnsi="Arial" w:cs="Arial"/>
        </w:rPr>
        <w:t xml:space="preserve">  Where it is not possible to do this, </w:t>
      </w:r>
      <w:r w:rsidR="00B030D7">
        <w:rPr>
          <w:rFonts w:ascii="Arial" w:hAnsi="Arial" w:cs="Arial"/>
        </w:rPr>
        <w:t xml:space="preserve">for example the company has ceased trading, </w:t>
      </w:r>
      <w:r w:rsidR="008416D5">
        <w:rPr>
          <w:rFonts w:ascii="Arial" w:hAnsi="Arial" w:cs="Arial"/>
        </w:rPr>
        <w:t xml:space="preserve">written evidence </w:t>
      </w:r>
      <w:r w:rsidR="00A87F56">
        <w:rPr>
          <w:rFonts w:ascii="Arial" w:hAnsi="Arial" w:cs="Arial"/>
        </w:rPr>
        <w:t xml:space="preserve">by email summarising what attempts have been made </w:t>
      </w:r>
      <w:r w:rsidR="008416D5">
        <w:rPr>
          <w:rFonts w:ascii="Arial" w:hAnsi="Arial" w:cs="Arial"/>
        </w:rPr>
        <w:t xml:space="preserve">must be provided to show that all reasonable efforts have been made to verify the reference as far as is reasonably practical. </w:t>
      </w:r>
      <w:r w:rsidR="00046CCE">
        <w:rPr>
          <w:rFonts w:ascii="Arial" w:hAnsi="Arial" w:cs="Arial"/>
        </w:rPr>
        <w:t xml:space="preserve"> This applies to references for employees, agency workers and volunteers. </w:t>
      </w:r>
    </w:p>
    <w:p w14:paraId="2AE5BFC2" w14:textId="77777777" w:rsidR="0048382E" w:rsidRDefault="0048382E" w:rsidP="0048382E">
      <w:pPr>
        <w:pStyle w:val="Default"/>
        <w:jc w:val="both"/>
        <w:rPr>
          <w:color w:val="auto"/>
        </w:rPr>
      </w:pPr>
    </w:p>
    <w:p w14:paraId="4AFA304C" w14:textId="77777777" w:rsidR="0048382E" w:rsidRDefault="0048382E" w:rsidP="0048382E">
      <w:pPr>
        <w:pStyle w:val="Default"/>
        <w:ind w:left="720" w:hanging="720"/>
        <w:jc w:val="both"/>
        <w:rPr>
          <w:color w:val="auto"/>
        </w:rPr>
      </w:pPr>
      <w:r>
        <w:rPr>
          <w:color w:val="auto"/>
        </w:rPr>
        <w:t>2.5</w:t>
      </w:r>
      <w:r>
        <w:rPr>
          <w:color w:val="auto"/>
        </w:rPr>
        <w:tab/>
        <w:t xml:space="preserve">For positions covered by 2.4, recruiting managers must also ensure they physically see each reference to ensure that it is satisfactory for the position.  </w:t>
      </w:r>
    </w:p>
    <w:p w14:paraId="7B1B9DA3" w14:textId="77777777" w:rsidR="0048382E" w:rsidRDefault="0048382E" w:rsidP="0048382E">
      <w:pPr>
        <w:jc w:val="both"/>
        <w:rPr>
          <w:rFonts w:ascii="Arial" w:hAnsi="Arial" w:cs="Arial"/>
        </w:rPr>
      </w:pPr>
    </w:p>
    <w:p w14:paraId="6D7B61BC" w14:textId="52E9796C" w:rsidR="0048382E" w:rsidRDefault="0048382E" w:rsidP="0048382E">
      <w:pPr>
        <w:ind w:left="720" w:hanging="720"/>
        <w:jc w:val="both"/>
        <w:rPr>
          <w:rFonts w:ascii="Arial" w:hAnsi="Arial" w:cs="Arial"/>
        </w:rPr>
      </w:pPr>
      <w:r>
        <w:rPr>
          <w:rFonts w:ascii="Arial" w:hAnsi="Arial" w:cs="Arial"/>
        </w:rPr>
        <w:t xml:space="preserve">2.6 </w:t>
      </w:r>
      <w:r>
        <w:rPr>
          <w:rFonts w:ascii="Arial" w:hAnsi="Arial" w:cs="Arial"/>
        </w:rPr>
        <w:tab/>
        <w:t xml:space="preserve">Prior to allowing a volunteer to start work, managers must ensure at least two satisfactory written references are received. </w:t>
      </w:r>
      <w:r w:rsidR="004D7A8D">
        <w:rPr>
          <w:rFonts w:ascii="Arial" w:hAnsi="Arial" w:cs="Arial"/>
        </w:rPr>
        <w:t xml:space="preserve">Arrangements covered under 2.4 above apply to the engagement of volunteers. </w:t>
      </w:r>
    </w:p>
    <w:p w14:paraId="31615C50" w14:textId="77777777" w:rsidR="0048382E" w:rsidRDefault="0048382E" w:rsidP="0048382E">
      <w:pPr>
        <w:ind w:left="720" w:hanging="720"/>
        <w:jc w:val="both"/>
        <w:rPr>
          <w:rFonts w:ascii="Arial" w:hAnsi="Arial" w:cs="Arial"/>
        </w:rPr>
      </w:pPr>
    </w:p>
    <w:p w14:paraId="60B06D3F" w14:textId="2FF26B5D" w:rsidR="00046CCE" w:rsidRPr="00046CCE" w:rsidRDefault="0048382E" w:rsidP="00046CCE">
      <w:pPr>
        <w:numPr>
          <w:ilvl w:val="1"/>
          <w:numId w:val="4"/>
        </w:numPr>
        <w:tabs>
          <w:tab w:val="left" w:pos="720"/>
        </w:tabs>
        <w:ind w:left="720" w:hanging="720"/>
        <w:jc w:val="both"/>
        <w:rPr>
          <w:rFonts w:ascii="Arial" w:hAnsi="Arial" w:cs="Arial"/>
        </w:rPr>
      </w:pPr>
      <w:r>
        <w:rPr>
          <w:rFonts w:ascii="Arial" w:hAnsi="Arial" w:cs="Arial"/>
        </w:rPr>
        <w:t xml:space="preserve">Contractual arrangements to engage the services of an agency worker must include the need to comply with this policy and for a minimum of two satisfactory references to be received by the agency prior to placement.  </w:t>
      </w:r>
      <w:r w:rsidR="004D7A8D">
        <w:rPr>
          <w:rFonts w:ascii="Arial" w:hAnsi="Arial" w:cs="Arial"/>
        </w:rPr>
        <w:t>Arrangements covered under 2.4 above apply to the engagement of agency workers.</w:t>
      </w:r>
    </w:p>
    <w:p w14:paraId="6C4DF57C" w14:textId="77777777" w:rsidR="0048382E" w:rsidRDefault="0048382E" w:rsidP="0048382E">
      <w:pPr>
        <w:jc w:val="both"/>
        <w:rPr>
          <w:rFonts w:ascii="Arial" w:hAnsi="Arial" w:cs="Arial"/>
          <w:u w:val="single"/>
        </w:rPr>
      </w:pPr>
    </w:p>
    <w:p w14:paraId="05CF9175" w14:textId="77777777" w:rsidR="0048382E" w:rsidRDefault="0048382E" w:rsidP="0048382E">
      <w:pPr>
        <w:jc w:val="both"/>
      </w:pPr>
      <w:r>
        <w:rPr>
          <w:rFonts w:ascii="Arial" w:hAnsi="Arial" w:cs="Arial"/>
          <w:b/>
        </w:rPr>
        <w:t>3.</w:t>
      </w:r>
      <w:r>
        <w:rPr>
          <w:rFonts w:ascii="Arial" w:hAnsi="Arial" w:cs="Arial"/>
          <w:b/>
        </w:rPr>
        <w:tab/>
      </w:r>
      <w:r>
        <w:rPr>
          <w:rFonts w:ascii="Arial" w:hAnsi="Arial" w:cs="Arial"/>
          <w:b/>
          <w:u w:val="single"/>
        </w:rPr>
        <w:t xml:space="preserve">Disclosure and Barring Check (DBS) / DBS Update Service Status check </w:t>
      </w:r>
    </w:p>
    <w:p w14:paraId="070BEF47" w14:textId="77777777" w:rsidR="0048382E" w:rsidRDefault="0048382E" w:rsidP="0048382E">
      <w:pPr>
        <w:jc w:val="both"/>
        <w:rPr>
          <w:rFonts w:ascii="Arial" w:hAnsi="Arial" w:cs="Arial"/>
        </w:rPr>
      </w:pPr>
    </w:p>
    <w:p w14:paraId="6FE72BFD" w14:textId="77777777" w:rsidR="0048382E" w:rsidRDefault="0048382E" w:rsidP="0048382E">
      <w:pPr>
        <w:ind w:left="720" w:hanging="720"/>
        <w:jc w:val="both"/>
      </w:pPr>
      <w:r>
        <w:rPr>
          <w:rFonts w:ascii="Arial" w:hAnsi="Arial" w:cs="Arial"/>
        </w:rPr>
        <w:t>3.1</w:t>
      </w:r>
      <w:r>
        <w:rPr>
          <w:rFonts w:ascii="Arial" w:hAnsi="Arial" w:cs="Arial"/>
        </w:rPr>
        <w:tab/>
        <w:t xml:space="preserve">All successful applicants, where the post dictates, must have an appropriate Disclosure and Barring check in place </w:t>
      </w:r>
      <w:r>
        <w:rPr>
          <w:rFonts w:ascii="Arial" w:hAnsi="Arial" w:cs="Arial"/>
          <w:b/>
        </w:rPr>
        <w:t xml:space="preserve">prior </w:t>
      </w:r>
      <w:r>
        <w:rPr>
          <w:rFonts w:ascii="Arial" w:hAnsi="Arial" w:cs="Arial"/>
        </w:rPr>
        <w:t xml:space="preserve">to commencing work as outlined in the eligibility criteria of the DBS policy and supporting guidance.  </w:t>
      </w:r>
    </w:p>
    <w:p w14:paraId="128F87C4" w14:textId="77777777" w:rsidR="0048382E" w:rsidRDefault="0048382E" w:rsidP="0048382E">
      <w:pPr>
        <w:pStyle w:val="Default"/>
        <w:jc w:val="both"/>
        <w:rPr>
          <w:color w:val="auto"/>
        </w:rPr>
      </w:pPr>
    </w:p>
    <w:p w14:paraId="2758319D" w14:textId="77777777" w:rsidR="0048382E" w:rsidRDefault="0048382E" w:rsidP="0048382E">
      <w:pPr>
        <w:ind w:left="720" w:hanging="720"/>
        <w:jc w:val="both"/>
        <w:rPr>
          <w:rFonts w:ascii="Arial" w:hAnsi="Arial" w:cs="Arial"/>
        </w:rPr>
      </w:pPr>
      <w:r>
        <w:rPr>
          <w:rFonts w:ascii="Arial" w:hAnsi="Arial" w:cs="Arial"/>
        </w:rPr>
        <w:t>3.2</w:t>
      </w:r>
      <w:r>
        <w:rPr>
          <w:rFonts w:ascii="Arial" w:hAnsi="Arial" w:cs="Arial"/>
        </w:rPr>
        <w:tab/>
        <w:t xml:space="preserve">A satisfactory DBS check /DBS update service status check appropriate for the post must be received prior to allowing a volunteer to begin work with the council/school. </w:t>
      </w:r>
    </w:p>
    <w:p w14:paraId="7D740B7B" w14:textId="77777777" w:rsidR="0048382E" w:rsidRDefault="0048382E" w:rsidP="0048382E">
      <w:pPr>
        <w:ind w:left="720" w:hanging="720"/>
        <w:jc w:val="both"/>
        <w:rPr>
          <w:rFonts w:ascii="Arial" w:hAnsi="Arial" w:cs="Arial"/>
        </w:rPr>
      </w:pPr>
    </w:p>
    <w:p w14:paraId="67E95768" w14:textId="77777777" w:rsidR="0048382E" w:rsidRDefault="0048382E" w:rsidP="0048382E">
      <w:pPr>
        <w:ind w:left="720" w:hanging="720"/>
        <w:jc w:val="both"/>
        <w:rPr>
          <w:rFonts w:ascii="Arial" w:hAnsi="Arial" w:cs="Arial"/>
        </w:rPr>
      </w:pPr>
      <w:r>
        <w:rPr>
          <w:rFonts w:ascii="Arial" w:hAnsi="Arial" w:cs="Arial"/>
        </w:rPr>
        <w:t>3.3</w:t>
      </w:r>
      <w:r>
        <w:rPr>
          <w:rFonts w:ascii="Arial" w:hAnsi="Arial" w:cs="Arial"/>
        </w:rPr>
        <w:tab/>
        <w:t xml:space="preserve">Building contractor’s/sub-contractors and their employees who, due to the nature of the work required, meet the definition of regulated activity will require an enhanced DBS check.  If access is unsupervised, this must be with an appropriate barring list check. </w:t>
      </w:r>
    </w:p>
    <w:p w14:paraId="7DCB1602" w14:textId="77777777" w:rsidR="0048382E" w:rsidRDefault="0048382E" w:rsidP="0048382E">
      <w:pPr>
        <w:ind w:left="720" w:hanging="720"/>
        <w:jc w:val="both"/>
        <w:rPr>
          <w:rFonts w:ascii="Arial" w:hAnsi="Arial" w:cs="Arial"/>
        </w:rPr>
      </w:pPr>
    </w:p>
    <w:p w14:paraId="02872640" w14:textId="40AA627A" w:rsidR="0048382E" w:rsidRDefault="0048382E" w:rsidP="00E4375A">
      <w:pPr>
        <w:ind w:left="720" w:hanging="720"/>
        <w:jc w:val="both"/>
        <w:rPr>
          <w:rFonts w:ascii="Arial" w:hAnsi="Arial" w:cs="Arial"/>
        </w:rPr>
      </w:pPr>
      <w:r>
        <w:rPr>
          <w:rFonts w:ascii="Arial" w:hAnsi="Arial" w:cs="Arial"/>
        </w:rPr>
        <w:t>3.4</w:t>
      </w:r>
      <w:r>
        <w:rPr>
          <w:rFonts w:ascii="Arial" w:hAnsi="Arial" w:cs="Arial"/>
        </w:rPr>
        <w:tab/>
        <w:t xml:space="preserve">Contractual arrangements to engage the services of an agency worker must include the need to comply with this policy.  </w:t>
      </w:r>
    </w:p>
    <w:p w14:paraId="6390AF6B" w14:textId="77777777" w:rsidR="00E4375A" w:rsidRDefault="00E4375A" w:rsidP="00E4375A">
      <w:pPr>
        <w:ind w:left="720" w:hanging="720"/>
        <w:jc w:val="both"/>
        <w:rPr>
          <w:rFonts w:ascii="Arial" w:hAnsi="Arial" w:cs="Arial"/>
        </w:rPr>
      </w:pPr>
    </w:p>
    <w:p w14:paraId="15D30758" w14:textId="77777777" w:rsidR="0048382E" w:rsidRDefault="0048382E" w:rsidP="0048382E">
      <w:pPr>
        <w:ind w:left="720" w:hanging="720"/>
        <w:jc w:val="both"/>
        <w:rPr>
          <w:rFonts w:ascii="Arial" w:hAnsi="Arial" w:cs="Arial"/>
        </w:rPr>
      </w:pPr>
      <w:r>
        <w:rPr>
          <w:rFonts w:ascii="Arial" w:hAnsi="Arial" w:cs="Arial"/>
        </w:rPr>
        <w:t>3.5</w:t>
      </w:r>
      <w:r>
        <w:rPr>
          <w:rFonts w:ascii="Arial" w:hAnsi="Arial" w:cs="Arial"/>
        </w:rPr>
        <w:tab/>
        <w:t xml:space="preserve">DBS disclosures/Update Service status checks are currently only portable for internal employee appointments where there are no changes to the client group.  </w:t>
      </w:r>
    </w:p>
    <w:p w14:paraId="5BCD873F" w14:textId="77777777" w:rsidR="0048382E" w:rsidRDefault="0048382E" w:rsidP="0048382E">
      <w:pPr>
        <w:ind w:left="720" w:hanging="720"/>
        <w:jc w:val="both"/>
        <w:rPr>
          <w:rFonts w:ascii="Arial" w:hAnsi="Arial" w:cs="Arial"/>
        </w:rPr>
      </w:pPr>
    </w:p>
    <w:p w14:paraId="76CA6947" w14:textId="77777777" w:rsidR="0048382E" w:rsidRDefault="0048382E" w:rsidP="0048382E">
      <w:pPr>
        <w:pStyle w:val="Default"/>
        <w:ind w:left="720" w:hanging="720"/>
        <w:jc w:val="both"/>
      </w:pPr>
      <w:r>
        <w:t xml:space="preserve">3.6   </w:t>
      </w:r>
      <w:r>
        <w:rPr>
          <w:color w:val="auto"/>
        </w:rPr>
        <w:t xml:space="preserve">  Where relevant criminal convictions are disclosed, managers must ensure they follow the guidance as provided in the DBS guidance document. </w:t>
      </w:r>
    </w:p>
    <w:p w14:paraId="4E35D07D" w14:textId="77777777" w:rsidR="0048382E" w:rsidRDefault="0048382E" w:rsidP="0048382E">
      <w:pPr>
        <w:pStyle w:val="Default"/>
        <w:jc w:val="both"/>
        <w:rPr>
          <w:color w:val="auto"/>
        </w:rPr>
      </w:pPr>
    </w:p>
    <w:p w14:paraId="018C2374" w14:textId="77777777" w:rsidR="0048382E" w:rsidRDefault="0048382E" w:rsidP="0048382E">
      <w:pPr>
        <w:pStyle w:val="Default"/>
        <w:ind w:left="720" w:hanging="720"/>
        <w:jc w:val="both"/>
      </w:pPr>
      <w:r>
        <w:rPr>
          <w:color w:val="auto"/>
        </w:rPr>
        <w:t>3.7</w:t>
      </w:r>
      <w:r>
        <w:rPr>
          <w:color w:val="auto"/>
        </w:rPr>
        <w:tab/>
        <w:t xml:space="preserve">Where the DBS disclosure states that the applicant/worker is registered on the relevant barred list, it is a criminal offence to allow the individual to engage in work with that particular client group. The matter </w:t>
      </w:r>
      <w:r>
        <w:rPr>
          <w:b/>
          <w:color w:val="auto"/>
        </w:rPr>
        <w:t xml:space="preserve">must </w:t>
      </w:r>
      <w:r>
        <w:rPr>
          <w:color w:val="auto"/>
        </w:rPr>
        <w:t>be referred</w:t>
      </w:r>
      <w:r>
        <w:rPr>
          <w:b/>
          <w:color w:val="auto"/>
        </w:rPr>
        <w:t xml:space="preserve"> </w:t>
      </w:r>
      <w:r>
        <w:rPr>
          <w:color w:val="auto"/>
        </w:rPr>
        <w:t>to all</w:t>
      </w:r>
      <w:r>
        <w:rPr>
          <w:b/>
          <w:color w:val="auto"/>
        </w:rPr>
        <w:t xml:space="preserve"> </w:t>
      </w:r>
      <w:r>
        <w:rPr>
          <w:color w:val="auto"/>
        </w:rPr>
        <w:t xml:space="preserve">relevant authorities immediately, as detailed in the DBS policy and supporting guidance.  It is a criminal offence to allow the individual to engage in work where they are barred from doing so.  </w:t>
      </w:r>
    </w:p>
    <w:p w14:paraId="38841EC0" w14:textId="77777777" w:rsidR="0048382E" w:rsidRDefault="0048382E" w:rsidP="0074079C">
      <w:pPr>
        <w:jc w:val="both"/>
        <w:rPr>
          <w:rFonts w:ascii="Arial" w:hAnsi="Arial" w:cs="Arial"/>
        </w:rPr>
      </w:pPr>
    </w:p>
    <w:p w14:paraId="3F9C7C99" w14:textId="77777777" w:rsidR="0048382E" w:rsidRDefault="0048382E" w:rsidP="0048382E">
      <w:pPr>
        <w:ind w:left="720" w:hanging="720"/>
        <w:jc w:val="both"/>
      </w:pPr>
      <w:r>
        <w:rPr>
          <w:rFonts w:ascii="Arial" w:hAnsi="Arial" w:cs="Arial"/>
          <w:b/>
        </w:rPr>
        <w:t>4.0</w:t>
      </w:r>
      <w:r>
        <w:rPr>
          <w:rFonts w:ascii="Arial" w:hAnsi="Arial" w:cs="Arial"/>
        </w:rPr>
        <w:tab/>
      </w:r>
      <w:r>
        <w:rPr>
          <w:rFonts w:ascii="Arial" w:hAnsi="Arial" w:cs="Arial"/>
          <w:b/>
          <w:u w:val="single"/>
        </w:rPr>
        <w:t>Registration with Appropriate Professional Body</w:t>
      </w:r>
    </w:p>
    <w:p w14:paraId="7164D30B" w14:textId="77777777" w:rsidR="0048382E" w:rsidRDefault="0048382E" w:rsidP="0048382E">
      <w:pPr>
        <w:ind w:left="720" w:hanging="720"/>
        <w:jc w:val="both"/>
        <w:rPr>
          <w:rFonts w:ascii="Arial" w:hAnsi="Arial" w:cs="Arial"/>
        </w:rPr>
      </w:pPr>
    </w:p>
    <w:p w14:paraId="4401488E" w14:textId="77777777" w:rsidR="0048382E" w:rsidRDefault="0048382E" w:rsidP="0048382E">
      <w:pPr>
        <w:ind w:left="720" w:hanging="720"/>
        <w:jc w:val="both"/>
      </w:pPr>
      <w:r>
        <w:rPr>
          <w:rFonts w:ascii="Arial" w:hAnsi="Arial" w:cs="Arial"/>
        </w:rPr>
        <w:t>4.1</w:t>
      </w:r>
      <w:r>
        <w:rPr>
          <w:rFonts w:ascii="Arial" w:hAnsi="Arial" w:cs="Arial"/>
        </w:rPr>
        <w:tab/>
        <w:t xml:space="preserve">Where the post determines, the recruiting manager must ensure that the applicant is registered with the appropriate body </w:t>
      </w:r>
      <w:r>
        <w:rPr>
          <w:rFonts w:ascii="Arial" w:hAnsi="Arial" w:cs="Arial"/>
          <w:b/>
          <w:u w:val="single"/>
        </w:rPr>
        <w:t xml:space="preserve">prior </w:t>
      </w:r>
      <w:r>
        <w:rPr>
          <w:rFonts w:ascii="Arial" w:hAnsi="Arial" w:cs="Arial"/>
        </w:rPr>
        <w:t xml:space="preserve">to arranging a start date for example EWC, Social Care Wales etc. </w:t>
      </w:r>
    </w:p>
    <w:p w14:paraId="0049374C" w14:textId="77777777" w:rsidR="0048382E" w:rsidRDefault="0048382E" w:rsidP="0048382E">
      <w:pPr>
        <w:ind w:left="720" w:hanging="720"/>
        <w:jc w:val="both"/>
        <w:rPr>
          <w:rFonts w:ascii="Arial" w:hAnsi="Arial" w:cs="Arial"/>
        </w:rPr>
      </w:pPr>
    </w:p>
    <w:p w14:paraId="13DB0B92" w14:textId="77777777" w:rsidR="0048382E" w:rsidRDefault="0048382E" w:rsidP="0048382E">
      <w:pPr>
        <w:ind w:left="720" w:hanging="720"/>
        <w:jc w:val="both"/>
        <w:rPr>
          <w:rFonts w:ascii="Arial" w:hAnsi="Arial" w:cs="Arial"/>
        </w:rPr>
      </w:pPr>
      <w:r>
        <w:rPr>
          <w:rFonts w:ascii="Arial" w:hAnsi="Arial" w:cs="Arial"/>
        </w:rPr>
        <w:t>4.2</w:t>
      </w:r>
      <w:r>
        <w:rPr>
          <w:rFonts w:ascii="Arial" w:hAnsi="Arial" w:cs="Arial"/>
        </w:rPr>
        <w:tab/>
        <w:t xml:space="preserve">Details must be recorded on the application form and confirmation must be obtained with the appropriate body. </w:t>
      </w:r>
    </w:p>
    <w:p w14:paraId="555792EA" w14:textId="77777777" w:rsidR="0048382E" w:rsidRDefault="0048382E" w:rsidP="0048382E">
      <w:pPr>
        <w:jc w:val="both"/>
        <w:rPr>
          <w:rFonts w:ascii="Arial" w:hAnsi="Arial" w:cs="Arial"/>
        </w:rPr>
      </w:pPr>
    </w:p>
    <w:p w14:paraId="1BAC1008" w14:textId="77777777" w:rsidR="0048382E" w:rsidRDefault="0048382E" w:rsidP="0048382E">
      <w:pPr>
        <w:jc w:val="both"/>
      </w:pPr>
      <w:r>
        <w:rPr>
          <w:rFonts w:ascii="Arial" w:hAnsi="Arial" w:cs="Arial"/>
          <w:b/>
        </w:rPr>
        <w:t>5.</w:t>
      </w:r>
      <w:r>
        <w:rPr>
          <w:rFonts w:ascii="Arial" w:hAnsi="Arial" w:cs="Arial"/>
        </w:rPr>
        <w:tab/>
      </w:r>
      <w:r>
        <w:rPr>
          <w:rFonts w:ascii="Arial" w:hAnsi="Arial" w:cs="Arial"/>
          <w:b/>
          <w:u w:val="single"/>
        </w:rPr>
        <w:t>Additional Safeguarding Standards</w:t>
      </w:r>
    </w:p>
    <w:p w14:paraId="32EFB39C" w14:textId="77777777" w:rsidR="0048382E" w:rsidRDefault="0048382E" w:rsidP="0048382E">
      <w:pPr>
        <w:jc w:val="both"/>
        <w:rPr>
          <w:rFonts w:ascii="Arial" w:hAnsi="Arial" w:cs="Arial"/>
        </w:rPr>
      </w:pPr>
    </w:p>
    <w:p w14:paraId="30CA440F" w14:textId="77777777" w:rsidR="0048382E" w:rsidRDefault="0048382E" w:rsidP="0048382E">
      <w:pPr>
        <w:numPr>
          <w:ilvl w:val="1"/>
          <w:numId w:val="5"/>
        </w:numPr>
        <w:tabs>
          <w:tab w:val="left" w:pos="720"/>
        </w:tabs>
        <w:ind w:left="720" w:hanging="720"/>
        <w:jc w:val="both"/>
        <w:rPr>
          <w:rFonts w:ascii="Arial" w:hAnsi="Arial" w:cs="Arial"/>
        </w:rPr>
      </w:pPr>
      <w:r>
        <w:rPr>
          <w:rFonts w:ascii="Arial" w:hAnsi="Arial" w:cs="Arial"/>
        </w:rPr>
        <w:t>The recruiting manager must also ensure that the following additional safeguarding standards are followed:</w:t>
      </w:r>
    </w:p>
    <w:p w14:paraId="5AA1CBDD" w14:textId="77777777" w:rsidR="0048382E" w:rsidRDefault="0048382E" w:rsidP="0048382E">
      <w:pPr>
        <w:jc w:val="both"/>
        <w:rPr>
          <w:rFonts w:ascii="Arial" w:hAnsi="Arial" w:cs="Arial"/>
        </w:rPr>
      </w:pPr>
    </w:p>
    <w:p w14:paraId="0C16C404" w14:textId="77777777" w:rsidR="0048382E" w:rsidRDefault="0048382E" w:rsidP="0048382E">
      <w:pPr>
        <w:numPr>
          <w:ilvl w:val="0"/>
          <w:numId w:val="6"/>
        </w:numPr>
        <w:jc w:val="both"/>
        <w:rPr>
          <w:rFonts w:ascii="Arial" w:hAnsi="Arial" w:cs="Arial"/>
        </w:rPr>
      </w:pPr>
      <w:r>
        <w:rPr>
          <w:rFonts w:ascii="Arial" w:hAnsi="Arial" w:cs="Arial"/>
        </w:rPr>
        <w:t>A full employment history is disclosed on the application form</w:t>
      </w:r>
    </w:p>
    <w:p w14:paraId="606A820D" w14:textId="77777777" w:rsidR="0048382E" w:rsidRDefault="0048382E" w:rsidP="0048382E">
      <w:pPr>
        <w:numPr>
          <w:ilvl w:val="0"/>
          <w:numId w:val="6"/>
        </w:numPr>
        <w:jc w:val="both"/>
        <w:rPr>
          <w:rFonts w:ascii="Arial" w:hAnsi="Arial" w:cs="Arial"/>
        </w:rPr>
      </w:pPr>
      <w:r>
        <w:rPr>
          <w:rFonts w:ascii="Arial" w:hAnsi="Arial" w:cs="Arial"/>
        </w:rPr>
        <w:t xml:space="preserve">Reasons for any gaps in employment/education are discussed, accounted for and recorded at the interview. This should also cover the reasons for repeated changes of employment without career or salary progression, or a mid-career move from a permanent post to supply/relief work or a temporary appointment.  </w:t>
      </w:r>
    </w:p>
    <w:p w14:paraId="710C1A31" w14:textId="77777777" w:rsidR="0048382E" w:rsidRDefault="0048382E" w:rsidP="0048382E">
      <w:pPr>
        <w:numPr>
          <w:ilvl w:val="0"/>
          <w:numId w:val="6"/>
        </w:numPr>
        <w:jc w:val="both"/>
      </w:pPr>
      <w:r>
        <w:rPr>
          <w:rFonts w:ascii="Arial" w:hAnsi="Arial" w:cs="Arial"/>
        </w:rPr>
        <w:t>The candidate discloses full details of reasons for leaving previous positions which have involved working with children or adults.  For positions governed by Care Inspectorate Wales or requiring staff to register with Social Care Wales, the recruiting manager must also verify these details as far as is reasonable practicable.</w:t>
      </w:r>
    </w:p>
    <w:p w14:paraId="7855B219" w14:textId="77777777" w:rsidR="0048382E" w:rsidRDefault="0048382E" w:rsidP="0048382E">
      <w:pPr>
        <w:numPr>
          <w:ilvl w:val="0"/>
          <w:numId w:val="6"/>
        </w:numPr>
        <w:jc w:val="both"/>
      </w:pPr>
      <w:r>
        <w:rPr>
          <w:rFonts w:ascii="Arial" w:hAnsi="Arial" w:cs="Arial"/>
        </w:rPr>
        <w:t>Any ‘spent’ convictions etc are disclosed on the application form where the post is exempt from the provisions of the Rehabilitation of Offenders Act 1974.</w:t>
      </w:r>
    </w:p>
    <w:p w14:paraId="0A9E634B" w14:textId="77777777" w:rsidR="0048382E" w:rsidRDefault="0048382E" w:rsidP="0048382E">
      <w:pPr>
        <w:numPr>
          <w:ilvl w:val="0"/>
          <w:numId w:val="6"/>
        </w:numPr>
        <w:jc w:val="both"/>
      </w:pPr>
      <w:r>
        <w:rPr>
          <w:rFonts w:ascii="Arial" w:hAnsi="Arial" w:cs="Arial"/>
        </w:rPr>
        <w:t>Any on-going safeguarding investigation(s) concerning the individual are disclosed.</w:t>
      </w:r>
    </w:p>
    <w:p w14:paraId="7953F19C" w14:textId="77777777" w:rsidR="0048382E" w:rsidRDefault="0048382E" w:rsidP="0048382E">
      <w:pPr>
        <w:jc w:val="both"/>
        <w:rPr>
          <w:rFonts w:ascii="Arial" w:hAnsi="Arial" w:cs="Arial"/>
          <w:u w:val="single"/>
        </w:rPr>
      </w:pPr>
    </w:p>
    <w:p w14:paraId="1EB364B9" w14:textId="2997C5A6" w:rsidR="0048382E" w:rsidRPr="00E4375A" w:rsidRDefault="0048382E" w:rsidP="00E4375A">
      <w:pPr>
        <w:jc w:val="both"/>
      </w:pPr>
      <w:r>
        <w:rPr>
          <w:rFonts w:ascii="Arial" w:hAnsi="Arial" w:cs="Arial"/>
          <w:b/>
        </w:rPr>
        <w:t>6.</w:t>
      </w:r>
      <w:r>
        <w:rPr>
          <w:rFonts w:ascii="Arial" w:hAnsi="Arial" w:cs="Arial"/>
          <w:b/>
        </w:rPr>
        <w:tab/>
      </w:r>
      <w:r>
        <w:rPr>
          <w:rFonts w:ascii="Arial" w:hAnsi="Arial" w:cs="Arial"/>
          <w:b/>
          <w:u w:val="single"/>
        </w:rPr>
        <w:t>Exceptional Circumstances</w:t>
      </w:r>
      <w:r>
        <w:rPr>
          <w:rFonts w:ascii="Arial" w:hAnsi="Arial" w:cs="Arial"/>
        </w:rPr>
        <w:tab/>
      </w:r>
    </w:p>
    <w:p w14:paraId="632BCC38" w14:textId="77777777" w:rsidR="0048382E" w:rsidRDefault="0048382E" w:rsidP="0048382E">
      <w:pPr>
        <w:jc w:val="both"/>
        <w:rPr>
          <w:rFonts w:ascii="Arial" w:hAnsi="Arial" w:cs="Arial"/>
        </w:rPr>
      </w:pPr>
    </w:p>
    <w:p w14:paraId="7957414E" w14:textId="702D350F" w:rsidR="00866883" w:rsidRDefault="00866883" w:rsidP="00866883">
      <w:pPr>
        <w:pStyle w:val="Default"/>
        <w:numPr>
          <w:ilvl w:val="1"/>
          <w:numId w:val="12"/>
        </w:numPr>
        <w:tabs>
          <w:tab w:val="left" w:pos="720"/>
        </w:tabs>
        <w:jc w:val="both"/>
        <w:rPr>
          <w:color w:val="auto"/>
        </w:rPr>
      </w:pPr>
      <w:r>
        <w:rPr>
          <w:color w:val="auto"/>
        </w:rPr>
        <w:t xml:space="preserve">     </w:t>
      </w:r>
      <w:r w:rsidR="008416D5">
        <w:rPr>
          <w:color w:val="auto"/>
        </w:rPr>
        <w:t>In exceptional circumstances, the</w:t>
      </w:r>
      <w:r w:rsidR="0048382E">
        <w:rPr>
          <w:color w:val="auto"/>
        </w:rPr>
        <w:t xml:space="preserve"> appropriate Head of Service or in the case of School appointments, the Head</w:t>
      </w:r>
      <w:r>
        <w:rPr>
          <w:color w:val="auto"/>
        </w:rPr>
        <w:t xml:space="preserve"> </w:t>
      </w:r>
    </w:p>
    <w:p w14:paraId="22467755" w14:textId="66046E6C" w:rsidR="0048382E" w:rsidRDefault="0048382E" w:rsidP="00866883">
      <w:pPr>
        <w:pStyle w:val="Default"/>
        <w:tabs>
          <w:tab w:val="left" w:pos="720"/>
        </w:tabs>
        <w:ind w:left="720"/>
        <w:jc w:val="both"/>
        <w:rPr>
          <w:color w:val="auto"/>
        </w:rPr>
      </w:pPr>
      <w:r>
        <w:rPr>
          <w:color w:val="auto"/>
        </w:rPr>
        <w:t xml:space="preserve">Teacher may authorise an individual to commence work without the necessary safeguarding checks in place.  This should only be considered where alternative temporary cover (through appropriately safeguarding checked workers) is unsuitable. </w:t>
      </w:r>
    </w:p>
    <w:p w14:paraId="045CBC71" w14:textId="77777777" w:rsidR="0048382E" w:rsidRDefault="0048382E" w:rsidP="0048382E">
      <w:pPr>
        <w:pStyle w:val="Default"/>
        <w:ind w:left="720"/>
        <w:jc w:val="both"/>
        <w:rPr>
          <w:color w:val="auto"/>
        </w:rPr>
      </w:pPr>
    </w:p>
    <w:p w14:paraId="74B5F63E" w14:textId="3939F8AE" w:rsidR="0048382E" w:rsidRDefault="0048382E" w:rsidP="0048382E">
      <w:pPr>
        <w:pStyle w:val="Default"/>
        <w:ind w:left="720" w:hanging="720"/>
        <w:jc w:val="both"/>
      </w:pPr>
      <w:r>
        <w:rPr>
          <w:color w:val="auto"/>
        </w:rPr>
        <w:t>6.</w:t>
      </w:r>
      <w:r w:rsidR="00866883">
        <w:rPr>
          <w:color w:val="auto"/>
        </w:rPr>
        <w:t>2</w:t>
      </w:r>
      <w:r>
        <w:rPr>
          <w:color w:val="auto"/>
        </w:rPr>
        <w:tab/>
      </w:r>
      <w:r>
        <w:rPr>
          <w:b/>
          <w:color w:val="auto"/>
        </w:rPr>
        <w:t xml:space="preserve">Any decision to authorise the individual to commence work should only be in exceptional circumstances </w:t>
      </w:r>
      <w:r>
        <w:rPr>
          <w:color w:val="auto"/>
        </w:rPr>
        <w:t>where the delay in starting the applicant will result in a risk to a child and/or adult or harm essential service delivery.  In such cases the Head of Service/Head Teacher must ensure that all other appropriate safeguards are in place</w:t>
      </w:r>
      <w:r w:rsidR="008416D5">
        <w:rPr>
          <w:color w:val="auto"/>
        </w:rPr>
        <w:t xml:space="preserve"> including supervision </w:t>
      </w:r>
      <w:r w:rsidR="00B32DE2">
        <w:rPr>
          <w:color w:val="auto"/>
        </w:rPr>
        <w:t>as outlined in the safer recruitment supporting guidance (link to be included)</w:t>
      </w:r>
      <w:r>
        <w:rPr>
          <w:color w:val="auto"/>
        </w:rPr>
        <w:t xml:space="preserve">  This arrangement is only valid for a period of up to 12 calendar weeks from the employee’s start date in post (as outlined in the contract of employment).  All checks </w:t>
      </w:r>
      <w:r>
        <w:rPr>
          <w:b/>
          <w:color w:val="auto"/>
        </w:rPr>
        <w:t>must</w:t>
      </w:r>
      <w:r>
        <w:rPr>
          <w:color w:val="auto"/>
        </w:rPr>
        <w:t xml:space="preserve"> be completed within this period.</w:t>
      </w:r>
    </w:p>
    <w:p w14:paraId="03B49566" w14:textId="77777777" w:rsidR="0048382E" w:rsidRDefault="0048382E" w:rsidP="0048382E">
      <w:pPr>
        <w:pStyle w:val="Default"/>
        <w:jc w:val="both"/>
        <w:rPr>
          <w:color w:val="auto"/>
        </w:rPr>
      </w:pPr>
    </w:p>
    <w:p w14:paraId="7F247C7C" w14:textId="0A723DB6" w:rsidR="00E4375A" w:rsidRPr="00E4375A" w:rsidRDefault="00E4375A" w:rsidP="00E4375A">
      <w:pPr>
        <w:pStyle w:val="ListParagraph"/>
        <w:numPr>
          <w:ilvl w:val="1"/>
          <w:numId w:val="18"/>
        </w:numPr>
        <w:jc w:val="both"/>
        <w:rPr>
          <w:rFonts w:ascii="Arial" w:hAnsi="Arial" w:cs="Arial"/>
        </w:rPr>
      </w:pPr>
      <w:r>
        <w:rPr>
          <w:rFonts w:ascii="Arial" w:hAnsi="Arial" w:cs="Arial"/>
        </w:rPr>
        <w:t xml:space="preserve">     </w:t>
      </w:r>
      <w:r w:rsidR="0048382E" w:rsidRPr="00E4375A">
        <w:rPr>
          <w:rFonts w:ascii="Arial" w:hAnsi="Arial" w:cs="Arial"/>
        </w:rPr>
        <w:t xml:space="preserve">The Council’s Risk Assessment form (for volunteers, contractors and agency workers) </w:t>
      </w:r>
      <w:r w:rsidR="0048382E" w:rsidRPr="00E4375A">
        <w:rPr>
          <w:rFonts w:ascii="Arial" w:hAnsi="Arial" w:cs="Arial"/>
          <w:b/>
        </w:rPr>
        <w:t>must</w:t>
      </w:r>
      <w:r w:rsidR="0048382E" w:rsidRPr="00E4375A">
        <w:rPr>
          <w:rFonts w:ascii="Arial" w:hAnsi="Arial" w:cs="Arial"/>
        </w:rPr>
        <w:t xml:space="preserve"> be completed and </w:t>
      </w:r>
    </w:p>
    <w:p w14:paraId="30470E9D" w14:textId="77777777" w:rsidR="00E4375A" w:rsidRDefault="00E4375A" w:rsidP="00E4375A">
      <w:pPr>
        <w:pStyle w:val="ListParagraph"/>
        <w:ind w:left="360"/>
        <w:jc w:val="both"/>
        <w:rPr>
          <w:rFonts w:ascii="Arial" w:hAnsi="Arial" w:cs="Arial"/>
        </w:rPr>
      </w:pPr>
      <w:r>
        <w:rPr>
          <w:rFonts w:ascii="Arial" w:hAnsi="Arial" w:cs="Arial"/>
        </w:rPr>
        <w:t xml:space="preserve">     </w:t>
      </w:r>
      <w:r w:rsidR="0048382E" w:rsidRPr="00E4375A">
        <w:rPr>
          <w:rFonts w:ascii="Arial" w:hAnsi="Arial" w:cs="Arial"/>
        </w:rPr>
        <w:t xml:space="preserve">fully signed </w:t>
      </w:r>
      <w:r w:rsidR="008343C7" w:rsidRPr="00E4375A">
        <w:rPr>
          <w:rFonts w:ascii="Arial" w:hAnsi="Arial" w:cs="Arial"/>
        </w:rPr>
        <w:t xml:space="preserve">ideally before a start date is arranged but where this is not possible, no later than on the first working </w:t>
      </w:r>
    </w:p>
    <w:p w14:paraId="13132B55" w14:textId="3DC7AD10" w:rsidR="00866883" w:rsidRPr="00E4375A" w:rsidRDefault="00E4375A" w:rsidP="00E4375A">
      <w:pPr>
        <w:pStyle w:val="ListParagraph"/>
        <w:ind w:left="360"/>
        <w:jc w:val="both"/>
        <w:rPr>
          <w:rFonts w:ascii="Arial" w:hAnsi="Arial" w:cs="Arial"/>
        </w:rPr>
      </w:pPr>
      <w:r>
        <w:rPr>
          <w:rFonts w:ascii="Arial" w:hAnsi="Arial" w:cs="Arial"/>
        </w:rPr>
        <w:lastRenderedPageBreak/>
        <w:t xml:space="preserve">     </w:t>
      </w:r>
      <w:r w:rsidR="008343C7" w:rsidRPr="00E4375A">
        <w:rPr>
          <w:rFonts w:ascii="Arial" w:hAnsi="Arial" w:cs="Arial"/>
        </w:rPr>
        <w:t>day and</w:t>
      </w:r>
      <w:r w:rsidR="00B81F95" w:rsidRPr="00E4375A">
        <w:rPr>
          <w:rFonts w:ascii="Arial" w:hAnsi="Arial" w:cs="Arial"/>
        </w:rPr>
        <w:t>/or</w:t>
      </w:r>
      <w:r w:rsidR="008343C7" w:rsidRPr="00E4375A">
        <w:rPr>
          <w:rFonts w:ascii="Arial" w:hAnsi="Arial" w:cs="Arial"/>
        </w:rPr>
        <w:t xml:space="preserve"> prior to the new starter</w:t>
      </w:r>
      <w:r w:rsidR="00C2306B" w:rsidRPr="00E4375A">
        <w:rPr>
          <w:rFonts w:ascii="Arial" w:hAnsi="Arial" w:cs="Arial"/>
        </w:rPr>
        <w:t>/worker</w:t>
      </w:r>
      <w:r w:rsidR="008343C7" w:rsidRPr="00E4375A">
        <w:rPr>
          <w:rFonts w:ascii="Arial" w:hAnsi="Arial" w:cs="Arial"/>
        </w:rPr>
        <w:t xml:space="preserve"> having any contact with children or adults at risk. </w:t>
      </w:r>
      <w:r w:rsidR="0048382E" w:rsidRPr="00E4375A">
        <w:rPr>
          <w:rFonts w:ascii="Arial" w:hAnsi="Arial" w:cs="Arial"/>
        </w:rPr>
        <w:t xml:space="preserve">   </w:t>
      </w:r>
    </w:p>
    <w:p w14:paraId="5F289672" w14:textId="77777777" w:rsidR="00E4375A" w:rsidRPr="00E4375A" w:rsidRDefault="00E4375A" w:rsidP="00E4375A">
      <w:pPr>
        <w:pStyle w:val="ListParagraph"/>
        <w:ind w:left="360"/>
        <w:jc w:val="both"/>
        <w:rPr>
          <w:rFonts w:ascii="Arial" w:hAnsi="Arial" w:cs="Arial"/>
        </w:rPr>
      </w:pPr>
    </w:p>
    <w:p w14:paraId="6F82363E" w14:textId="066CF39E" w:rsidR="0048382E" w:rsidRPr="00866883" w:rsidRDefault="00866883" w:rsidP="00866883">
      <w:pPr>
        <w:ind w:left="720" w:hanging="720"/>
        <w:jc w:val="both"/>
      </w:pPr>
      <w:r>
        <w:rPr>
          <w:rFonts w:ascii="Arial" w:hAnsi="Arial" w:cs="Arial"/>
        </w:rPr>
        <w:t>6.4</w:t>
      </w:r>
      <w:r>
        <w:rPr>
          <w:rFonts w:ascii="Arial" w:hAnsi="Arial" w:cs="Arial"/>
        </w:rPr>
        <w:tab/>
      </w:r>
      <w:r w:rsidR="0048382E" w:rsidRPr="00866883">
        <w:rPr>
          <w:rFonts w:ascii="Arial" w:hAnsi="Arial" w:cs="Arial"/>
          <w:iCs/>
        </w:rPr>
        <w:t>Recruiting managers must also ensure that the applicant signs the Safer Recruitment Risk Assessment Applicant Form to accept to the terms of the agreement.  Recruiting managers must also ensure that safeguards which are agreed are made clear to the employee and the immediate team delivering the service.  Where the applicant/worker will be located outside of the recruiting managers direct remit/service area, the Head of Service/Head Teacher must ensure they communicate the safeguarding arrangements to relevant parties.</w:t>
      </w:r>
    </w:p>
    <w:p w14:paraId="7167E98C" w14:textId="77777777" w:rsidR="0048382E" w:rsidRDefault="0048382E" w:rsidP="0048382E">
      <w:pPr>
        <w:pStyle w:val="Default"/>
        <w:jc w:val="both"/>
        <w:rPr>
          <w:iCs/>
          <w:color w:val="auto"/>
        </w:rPr>
      </w:pPr>
    </w:p>
    <w:p w14:paraId="3A7797F8" w14:textId="77777777" w:rsidR="0048382E" w:rsidRDefault="0048382E" w:rsidP="0048382E">
      <w:pPr>
        <w:pStyle w:val="Default"/>
        <w:numPr>
          <w:ilvl w:val="1"/>
          <w:numId w:val="8"/>
        </w:numPr>
        <w:tabs>
          <w:tab w:val="left" w:pos="720"/>
        </w:tabs>
        <w:ind w:left="720" w:hanging="720"/>
        <w:jc w:val="both"/>
      </w:pPr>
      <w:r>
        <w:rPr>
          <w:iCs/>
          <w:color w:val="auto"/>
        </w:rPr>
        <w:t xml:space="preserve">If the DBS disclosure/Update service status check is received after the employee has started in their new post and the employee is found to be barred from working with the particular group, </w:t>
      </w:r>
      <w:r>
        <w:rPr>
          <w:color w:val="auto"/>
        </w:rPr>
        <w:t>the offer of employment must be rescinded immediately and the relevant authorities informed immediately</w:t>
      </w:r>
      <w:r>
        <w:rPr>
          <w:iCs/>
          <w:color w:val="auto"/>
        </w:rPr>
        <w:t xml:space="preserve">. </w:t>
      </w:r>
      <w:r>
        <w:rPr>
          <w:b/>
          <w:iCs/>
          <w:color w:val="auto"/>
        </w:rPr>
        <w:t>Under no circumstance can the employee remain in the role regardless of any safeguarding measures in place.</w:t>
      </w:r>
    </w:p>
    <w:p w14:paraId="190DE587" w14:textId="77777777" w:rsidR="0048382E" w:rsidRDefault="0048382E" w:rsidP="0048382E">
      <w:pPr>
        <w:pStyle w:val="Default"/>
        <w:jc w:val="both"/>
        <w:rPr>
          <w:iCs/>
          <w:color w:val="auto"/>
        </w:rPr>
      </w:pPr>
    </w:p>
    <w:p w14:paraId="452B3D1E" w14:textId="49CF2E80" w:rsidR="0048382E" w:rsidRDefault="0048382E" w:rsidP="0048382E">
      <w:pPr>
        <w:ind w:left="720" w:hanging="720"/>
        <w:jc w:val="both"/>
      </w:pPr>
      <w:r>
        <w:rPr>
          <w:rFonts w:ascii="Arial" w:hAnsi="Arial" w:cs="Arial"/>
        </w:rPr>
        <w:t>6.</w:t>
      </w:r>
      <w:r w:rsidR="00866883">
        <w:rPr>
          <w:rFonts w:ascii="Arial" w:hAnsi="Arial" w:cs="Arial"/>
        </w:rPr>
        <w:t>6</w:t>
      </w:r>
      <w:r>
        <w:rPr>
          <w:rFonts w:ascii="Arial" w:hAnsi="Arial" w:cs="Arial"/>
        </w:rPr>
        <w:t xml:space="preserve">      Where the employee fails to fully engage in the process to ensure their outstanding checks are completed and received during the 12 weeks, </w:t>
      </w:r>
      <w:r>
        <w:rPr>
          <w:rFonts w:ascii="Arial" w:hAnsi="Arial" w:cs="Arial"/>
          <w:b/>
        </w:rPr>
        <w:t>salary will be suspended and they must be removed from the workplace immediately</w:t>
      </w:r>
      <w:r>
        <w:rPr>
          <w:rFonts w:ascii="Arial" w:hAnsi="Arial" w:cs="Arial"/>
        </w:rPr>
        <w:t>. Recruiting managers will be responsible for informing Employee Services to suspend salary.</w:t>
      </w:r>
    </w:p>
    <w:p w14:paraId="26D46FE8" w14:textId="77777777" w:rsidR="0048382E" w:rsidRDefault="0048382E" w:rsidP="0048382E">
      <w:pPr>
        <w:ind w:left="720" w:hanging="720"/>
        <w:jc w:val="both"/>
        <w:rPr>
          <w:rFonts w:ascii="Arial" w:hAnsi="Arial" w:cs="Arial"/>
        </w:rPr>
      </w:pPr>
    </w:p>
    <w:p w14:paraId="3ED5E01D" w14:textId="70FB47DF" w:rsidR="0048382E" w:rsidRDefault="0048382E" w:rsidP="0048382E">
      <w:pPr>
        <w:ind w:left="720" w:hanging="720"/>
        <w:jc w:val="both"/>
        <w:rPr>
          <w:rFonts w:ascii="Arial" w:hAnsi="Arial" w:cs="Arial"/>
        </w:rPr>
      </w:pPr>
      <w:r>
        <w:rPr>
          <w:rFonts w:ascii="Arial" w:hAnsi="Arial" w:cs="Arial"/>
        </w:rPr>
        <w:t>6.</w:t>
      </w:r>
      <w:r w:rsidR="00866883">
        <w:rPr>
          <w:rFonts w:ascii="Arial" w:hAnsi="Arial" w:cs="Arial"/>
        </w:rPr>
        <w:t>7</w:t>
      </w:r>
      <w:r>
        <w:rPr>
          <w:rFonts w:ascii="Arial" w:hAnsi="Arial" w:cs="Arial"/>
        </w:rPr>
        <w:tab/>
        <w:t xml:space="preserve">Where the Council/School believes that insufficient attempts continue to be made within 4 calendar weeks following suspension of salary, the offer of employment will be rescinded.   </w:t>
      </w:r>
    </w:p>
    <w:p w14:paraId="2E03814B" w14:textId="77777777" w:rsidR="0048382E" w:rsidRDefault="0048382E" w:rsidP="0048382E">
      <w:pPr>
        <w:ind w:left="720" w:hanging="720"/>
        <w:jc w:val="both"/>
        <w:rPr>
          <w:rFonts w:ascii="Arial" w:hAnsi="Arial" w:cs="Arial"/>
        </w:rPr>
      </w:pPr>
    </w:p>
    <w:p w14:paraId="315686B8" w14:textId="6EA5748E" w:rsidR="00E4375A" w:rsidRPr="00E4375A" w:rsidRDefault="00866883" w:rsidP="00E4375A">
      <w:pPr>
        <w:pStyle w:val="ListParagraph"/>
        <w:numPr>
          <w:ilvl w:val="1"/>
          <w:numId w:val="16"/>
        </w:numPr>
        <w:jc w:val="both"/>
        <w:rPr>
          <w:rFonts w:ascii="Arial" w:hAnsi="Arial" w:cs="Arial"/>
        </w:rPr>
      </w:pPr>
      <w:r w:rsidRPr="00E4375A">
        <w:rPr>
          <w:rFonts w:ascii="Arial" w:hAnsi="Arial" w:cs="Arial"/>
        </w:rPr>
        <w:t xml:space="preserve">    </w:t>
      </w:r>
      <w:r w:rsidR="00E4375A" w:rsidRPr="00E4375A">
        <w:rPr>
          <w:rFonts w:ascii="Arial" w:hAnsi="Arial" w:cs="Arial"/>
        </w:rPr>
        <w:tab/>
      </w:r>
      <w:r w:rsidR="0048382E" w:rsidRPr="00E4375A">
        <w:rPr>
          <w:rFonts w:ascii="Arial" w:hAnsi="Arial" w:cs="Arial"/>
        </w:rPr>
        <w:t>Where the employee has made every attempt to engage in the process by the 12</w:t>
      </w:r>
      <w:r w:rsidR="0048382E" w:rsidRPr="00E4375A">
        <w:rPr>
          <w:rFonts w:ascii="Arial" w:hAnsi="Arial" w:cs="Arial"/>
          <w:vertAlign w:val="superscript"/>
        </w:rPr>
        <w:t>th</w:t>
      </w:r>
      <w:r w:rsidR="0048382E" w:rsidRPr="00E4375A">
        <w:rPr>
          <w:rFonts w:ascii="Arial" w:hAnsi="Arial" w:cs="Arial"/>
        </w:rPr>
        <w:t xml:space="preserve"> and 16</w:t>
      </w:r>
      <w:r w:rsidR="0048382E" w:rsidRPr="00E4375A">
        <w:rPr>
          <w:rFonts w:ascii="Arial" w:hAnsi="Arial" w:cs="Arial"/>
          <w:vertAlign w:val="superscript"/>
        </w:rPr>
        <w:t>th</w:t>
      </w:r>
      <w:r w:rsidR="0048382E" w:rsidRPr="00E4375A">
        <w:rPr>
          <w:rFonts w:ascii="Arial" w:hAnsi="Arial" w:cs="Arial"/>
        </w:rPr>
        <w:t xml:space="preserve"> week but checks</w:t>
      </w:r>
      <w:r w:rsidRPr="00E4375A">
        <w:rPr>
          <w:rFonts w:ascii="Arial" w:hAnsi="Arial" w:cs="Arial"/>
        </w:rPr>
        <w:t xml:space="preserve"> </w:t>
      </w:r>
    </w:p>
    <w:p w14:paraId="52B37B5A" w14:textId="77777777" w:rsidR="00E4375A" w:rsidRDefault="0048382E" w:rsidP="00E4375A">
      <w:pPr>
        <w:ind w:left="720" w:firstLine="10"/>
        <w:jc w:val="both"/>
        <w:rPr>
          <w:rFonts w:ascii="Arial" w:hAnsi="Arial" w:cs="Arial"/>
        </w:rPr>
      </w:pPr>
      <w:r w:rsidRPr="00866883">
        <w:rPr>
          <w:rFonts w:ascii="Arial" w:hAnsi="Arial" w:cs="Arial"/>
        </w:rPr>
        <w:t>remain outstanding, the matter should be referred to the service Director</w:t>
      </w:r>
      <w:r w:rsidRPr="00866883">
        <w:rPr>
          <w:rFonts w:ascii="Arial" w:hAnsi="Arial" w:cs="Arial"/>
          <w:strike/>
        </w:rPr>
        <w:t xml:space="preserve"> </w:t>
      </w:r>
      <w:r w:rsidRPr="00866883">
        <w:rPr>
          <w:rFonts w:ascii="Arial" w:hAnsi="Arial" w:cs="Arial"/>
        </w:rPr>
        <w:t xml:space="preserve">and the Head of Human Resources and Organisational Development to determine if employment can be extended. </w:t>
      </w:r>
    </w:p>
    <w:p w14:paraId="52FAD462" w14:textId="77777777" w:rsidR="00E4375A" w:rsidRDefault="00E4375A" w:rsidP="00E4375A">
      <w:pPr>
        <w:jc w:val="both"/>
        <w:rPr>
          <w:rFonts w:ascii="Arial" w:hAnsi="Arial" w:cs="Arial"/>
        </w:rPr>
      </w:pPr>
    </w:p>
    <w:p w14:paraId="1056DA30" w14:textId="568C06ED" w:rsidR="00E4375A" w:rsidRPr="00E4375A" w:rsidRDefault="00E4375A" w:rsidP="00E4375A">
      <w:pPr>
        <w:pStyle w:val="ListParagraph"/>
        <w:numPr>
          <w:ilvl w:val="1"/>
          <w:numId w:val="16"/>
        </w:numPr>
        <w:jc w:val="both"/>
        <w:rPr>
          <w:rFonts w:ascii="Arial" w:hAnsi="Arial" w:cs="Arial"/>
        </w:rPr>
      </w:pPr>
      <w:r>
        <w:rPr>
          <w:rFonts w:ascii="Arial" w:hAnsi="Arial" w:cs="Arial"/>
        </w:rPr>
        <w:t xml:space="preserve">     </w:t>
      </w:r>
      <w:r w:rsidR="0048382E" w:rsidRPr="00E4375A">
        <w:rPr>
          <w:rFonts w:ascii="Arial" w:hAnsi="Arial" w:cs="Arial"/>
        </w:rPr>
        <w:t xml:space="preserve">The risk assessment process must also be applied for the use of volunteers, agency workers and contractors </w:t>
      </w:r>
      <w:r w:rsidRPr="00E4375A">
        <w:rPr>
          <w:rFonts w:ascii="Arial" w:hAnsi="Arial" w:cs="Arial"/>
        </w:rPr>
        <w:t xml:space="preserve">    </w:t>
      </w:r>
    </w:p>
    <w:p w14:paraId="73E8C6E2" w14:textId="77777777" w:rsidR="00E4375A" w:rsidRDefault="00E4375A" w:rsidP="00E4375A">
      <w:pPr>
        <w:pStyle w:val="ListParagraph"/>
        <w:ind w:left="360"/>
        <w:jc w:val="both"/>
        <w:rPr>
          <w:rFonts w:ascii="Arial" w:hAnsi="Arial" w:cs="Arial"/>
        </w:rPr>
      </w:pPr>
      <w:r w:rsidRPr="00E4375A">
        <w:rPr>
          <w:rFonts w:ascii="Arial" w:hAnsi="Arial" w:cs="Arial"/>
        </w:rPr>
        <w:t xml:space="preserve"> </w:t>
      </w:r>
      <w:r>
        <w:rPr>
          <w:rFonts w:ascii="Arial" w:hAnsi="Arial" w:cs="Arial"/>
        </w:rPr>
        <w:t xml:space="preserve">    </w:t>
      </w:r>
      <w:r w:rsidR="0048382E" w:rsidRPr="00E4375A">
        <w:rPr>
          <w:rFonts w:ascii="Arial" w:hAnsi="Arial" w:cs="Arial"/>
        </w:rPr>
        <w:t>where the required safeguarding checks remain outstanding.  In cases where the checks remain outstanding at</w:t>
      </w:r>
      <w:r>
        <w:rPr>
          <w:rFonts w:ascii="Arial" w:hAnsi="Arial" w:cs="Arial"/>
        </w:rPr>
        <w:t xml:space="preserve">  </w:t>
      </w:r>
    </w:p>
    <w:p w14:paraId="7513E9D7" w14:textId="77777777" w:rsidR="00E4375A" w:rsidRDefault="00E4375A" w:rsidP="00E4375A">
      <w:pPr>
        <w:pStyle w:val="ListParagraph"/>
        <w:ind w:left="360"/>
        <w:jc w:val="both"/>
        <w:rPr>
          <w:rFonts w:ascii="Arial" w:hAnsi="Arial" w:cs="Arial"/>
        </w:rPr>
      </w:pPr>
      <w:r>
        <w:rPr>
          <w:rFonts w:ascii="Arial" w:hAnsi="Arial" w:cs="Arial"/>
        </w:rPr>
        <w:t xml:space="preserve">    </w:t>
      </w:r>
      <w:r w:rsidR="0048382E" w:rsidRPr="00E4375A">
        <w:rPr>
          <w:rFonts w:ascii="Arial" w:hAnsi="Arial" w:cs="Arial"/>
        </w:rPr>
        <w:t xml:space="preserve"> the 12</w:t>
      </w:r>
      <w:r w:rsidR="0048382E" w:rsidRPr="00E4375A">
        <w:rPr>
          <w:rFonts w:ascii="Arial" w:hAnsi="Arial" w:cs="Arial"/>
          <w:vertAlign w:val="superscript"/>
        </w:rPr>
        <w:t>th</w:t>
      </w:r>
      <w:r w:rsidR="0048382E" w:rsidRPr="00E4375A">
        <w:rPr>
          <w:rFonts w:ascii="Arial" w:hAnsi="Arial" w:cs="Arial"/>
        </w:rPr>
        <w:t xml:space="preserve"> week, any contractual arrangements with the agency/contractor should be terminated.   Volunteers must </w:t>
      </w:r>
      <w:r>
        <w:rPr>
          <w:rFonts w:ascii="Arial" w:hAnsi="Arial" w:cs="Arial"/>
        </w:rPr>
        <w:t xml:space="preserve"> </w:t>
      </w:r>
    </w:p>
    <w:p w14:paraId="3BC2A93F" w14:textId="65F424C1" w:rsidR="0048382E" w:rsidRDefault="00E4375A" w:rsidP="00E4375A">
      <w:pPr>
        <w:pStyle w:val="ListParagraph"/>
        <w:ind w:left="360"/>
        <w:jc w:val="both"/>
      </w:pPr>
      <w:r>
        <w:rPr>
          <w:rFonts w:ascii="Arial" w:hAnsi="Arial" w:cs="Arial"/>
        </w:rPr>
        <w:t xml:space="preserve">     </w:t>
      </w:r>
      <w:r w:rsidR="0048382E" w:rsidRPr="00E4375A">
        <w:rPr>
          <w:rFonts w:ascii="Arial" w:hAnsi="Arial" w:cs="Arial"/>
        </w:rPr>
        <w:t xml:space="preserve">be removed from the workplace immediately. </w:t>
      </w:r>
    </w:p>
    <w:p w14:paraId="35E39EF1" w14:textId="77777777" w:rsidR="0048382E" w:rsidRDefault="0048382E" w:rsidP="0048382E">
      <w:pPr>
        <w:jc w:val="both"/>
        <w:rPr>
          <w:rFonts w:ascii="Arial" w:hAnsi="Arial" w:cs="Arial"/>
        </w:rPr>
      </w:pPr>
    </w:p>
    <w:p w14:paraId="379994B3" w14:textId="77777777" w:rsidR="00E4375A" w:rsidRPr="00E4375A" w:rsidRDefault="0048382E" w:rsidP="00E4375A">
      <w:pPr>
        <w:pStyle w:val="ListParagraph"/>
        <w:numPr>
          <w:ilvl w:val="1"/>
          <w:numId w:val="16"/>
        </w:numPr>
        <w:tabs>
          <w:tab w:val="left" w:pos="720"/>
        </w:tabs>
        <w:jc w:val="both"/>
      </w:pPr>
      <w:r w:rsidRPr="00E4375A">
        <w:rPr>
          <w:rFonts w:ascii="Arial" w:hAnsi="Arial" w:cs="Arial"/>
        </w:rPr>
        <w:t>Recruiting managers will be responsible for monitoring the risk assessment process and taking necessary action</w:t>
      </w:r>
    </w:p>
    <w:p w14:paraId="78556135" w14:textId="19CAA3DD" w:rsidR="0048382E" w:rsidRDefault="00E4375A" w:rsidP="00E4375A">
      <w:pPr>
        <w:pStyle w:val="ListParagraph"/>
        <w:tabs>
          <w:tab w:val="left" w:pos="720"/>
        </w:tabs>
        <w:ind w:left="360"/>
        <w:jc w:val="both"/>
      </w:pPr>
      <w:r>
        <w:rPr>
          <w:rFonts w:ascii="Arial" w:hAnsi="Arial" w:cs="Arial"/>
        </w:rPr>
        <w:t xml:space="preserve">    </w:t>
      </w:r>
      <w:r w:rsidR="0048382E" w:rsidRPr="00E4375A">
        <w:rPr>
          <w:rFonts w:ascii="Arial" w:hAnsi="Arial" w:cs="Arial"/>
        </w:rPr>
        <w:t xml:space="preserve"> at the 12</w:t>
      </w:r>
      <w:r w:rsidR="0048382E" w:rsidRPr="00E4375A">
        <w:rPr>
          <w:rFonts w:ascii="Arial" w:hAnsi="Arial" w:cs="Arial"/>
          <w:vertAlign w:val="superscript"/>
        </w:rPr>
        <w:t>th</w:t>
      </w:r>
      <w:r w:rsidR="0048382E" w:rsidRPr="00E4375A">
        <w:rPr>
          <w:rFonts w:ascii="Arial" w:hAnsi="Arial" w:cs="Arial"/>
        </w:rPr>
        <w:t xml:space="preserve"> and 16</w:t>
      </w:r>
      <w:r w:rsidR="0048382E" w:rsidRPr="00E4375A">
        <w:rPr>
          <w:rFonts w:ascii="Arial" w:hAnsi="Arial" w:cs="Arial"/>
          <w:vertAlign w:val="superscript"/>
        </w:rPr>
        <w:t>th</w:t>
      </w:r>
      <w:r w:rsidR="0048382E" w:rsidRPr="00E4375A">
        <w:rPr>
          <w:rFonts w:ascii="Arial" w:hAnsi="Arial" w:cs="Arial"/>
        </w:rPr>
        <w:t xml:space="preserve"> week. </w:t>
      </w:r>
    </w:p>
    <w:p w14:paraId="7E7F3067" w14:textId="77777777" w:rsidR="0048382E" w:rsidRDefault="0048382E" w:rsidP="0048382E">
      <w:pPr>
        <w:jc w:val="both"/>
        <w:rPr>
          <w:rFonts w:ascii="Arial" w:hAnsi="Arial" w:cs="Arial"/>
        </w:rPr>
      </w:pPr>
    </w:p>
    <w:p w14:paraId="7070CCE3" w14:textId="77777777" w:rsidR="0048382E" w:rsidRDefault="0048382E" w:rsidP="0048382E">
      <w:pPr>
        <w:jc w:val="both"/>
      </w:pPr>
      <w:r>
        <w:rPr>
          <w:rFonts w:ascii="Arial" w:hAnsi="Arial" w:cs="Arial"/>
          <w:b/>
        </w:rPr>
        <w:t xml:space="preserve">7.0      </w:t>
      </w:r>
      <w:r>
        <w:rPr>
          <w:rFonts w:ascii="Arial" w:hAnsi="Arial" w:cs="Arial"/>
          <w:b/>
          <w:u w:val="single"/>
        </w:rPr>
        <w:t>Secure Handling of Safeguarding Checks</w:t>
      </w:r>
    </w:p>
    <w:p w14:paraId="327108D7" w14:textId="77777777" w:rsidR="0048382E" w:rsidRDefault="0048382E" w:rsidP="0048382E">
      <w:pPr>
        <w:jc w:val="both"/>
        <w:rPr>
          <w:rFonts w:ascii="Arial" w:hAnsi="Arial" w:cs="Arial"/>
          <w:u w:val="single"/>
        </w:rPr>
      </w:pPr>
    </w:p>
    <w:p w14:paraId="356CFAFF" w14:textId="77777777" w:rsidR="0048382E" w:rsidRDefault="0048382E" w:rsidP="0048382E">
      <w:pPr>
        <w:ind w:left="720" w:hanging="720"/>
        <w:jc w:val="both"/>
        <w:rPr>
          <w:rFonts w:ascii="Arial" w:hAnsi="Arial" w:cs="Arial"/>
        </w:rPr>
      </w:pPr>
      <w:r>
        <w:rPr>
          <w:rFonts w:ascii="Arial" w:hAnsi="Arial" w:cs="Arial"/>
        </w:rPr>
        <w:t>7.1</w:t>
      </w:r>
      <w:r>
        <w:rPr>
          <w:rFonts w:ascii="Arial" w:hAnsi="Arial" w:cs="Arial"/>
        </w:rPr>
        <w:tab/>
        <w:t xml:space="preserve">All employees must ensure that they comply with the DBS Code of Practice and Councils/Schools GDPR requirements as appropriate for all safeguarding pre-employment documents.  </w:t>
      </w:r>
    </w:p>
    <w:p w14:paraId="30E5C8C7" w14:textId="77777777" w:rsidR="0048382E" w:rsidRDefault="0048382E" w:rsidP="0048382E">
      <w:pPr>
        <w:ind w:left="720" w:hanging="720"/>
        <w:jc w:val="both"/>
        <w:rPr>
          <w:rFonts w:ascii="Arial" w:hAnsi="Arial" w:cs="Arial"/>
        </w:rPr>
      </w:pPr>
    </w:p>
    <w:p w14:paraId="7A544059" w14:textId="77777777" w:rsidR="0048382E" w:rsidRDefault="0048382E" w:rsidP="0048382E">
      <w:pPr>
        <w:ind w:left="720" w:hanging="720"/>
        <w:jc w:val="both"/>
        <w:rPr>
          <w:rFonts w:ascii="Arial" w:hAnsi="Arial" w:cs="Arial"/>
        </w:rPr>
      </w:pPr>
      <w:r>
        <w:rPr>
          <w:rFonts w:ascii="Arial" w:hAnsi="Arial" w:cs="Arial"/>
        </w:rPr>
        <w:t xml:space="preserve">7.2 </w:t>
      </w:r>
      <w:r>
        <w:rPr>
          <w:rFonts w:ascii="Arial" w:hAnsi="Arial" w:cs="Arial"/>
        </w:rPr>
        <w:tab/>
        <w:t>Any information regarding the disclosure can only be shared outside of the council/school in strictest confidence with relevant people after express written consent is given by the individual unless there is a legal requirement otherwise.</w:t>
      </w:r>
    </w:p>
    <w:p w14:paraId="0D35902B" w14:textId="77777777" w:rsidR="0048382E" w:rsidRDefault="0048382E" w:rsidP="0048382E">
      <w:pPr>
        <w:jc w:val="both"/>
        <w:rPr>
          <w:rFonts w:ascii="Arial" w:hAnsi="Arial" w:cs="Arial"/>
        </w:rPr>
      </w:pPr>
    </w:p>
    <w:p w14:paraId="5AE88295" w14:textId="77777777" w:rsidR="0048382E" w:rsidRDefault="0048382E" w:rsidP="0048382E">
      <w:pPr>
        <w:jc w:val="both"/>
      </w:pPr>
      <w:r>
        <w:rPr>
          <w:rFonts w:ascii="Arial" w:hAnsi="Arial" w:cs="Arial"/>
          <w:b/>
        </w:rPr>
        <w:t>8</w:t>
      </w:r>
      <w:r>
        <w:rPr>
          <w:rFonts w:ascii="Arial" w:hAnsi="Arial" w:cs="Arial"/>
          <w:b/>
        </w:rPr>
        <w:tab/>
      </w:r>
      <w:r>
        <w:rPr>
          <w:rFonts w:ascii="Arial" w:hAnsi="Arial" w:cs="Arial"/>
          <w:b/>
          <w:u w:val="single"/>
        </w:rPr>
        <w:t>Training and Communication</w:t>
      </w:r>
    </w:p>
    <w:p w14:paraId="24E67A7A" w14:textId="77777777" w:rsidR="0048382E" w:rsidRDefault="0048382E" w:rsidP="0048382E">
      <w:pPr>
        <w:jc w:val="both"/>
        <w:rPr>
          <w:rFonts w:ascii="Arial" w:hAnsi="Arial" w:cs="Arial"/>
        </w:rPr>
      </w:pPr>
    </w:p>
    <w:p w14:paraId="38F566D3" w14:textId="77777777" w:rsidR="0048382E" w:rsidRDefault="0048382E" w:rsidP="0048382E">
      <w:pPr>
        <w:ind w:left="720" w:hanging="720"/>
        <w:jc w:val="both"/>
        <w:rPr>
          <w:rFonts w:ascii="Arial" w:hAnsi="Arial" w:cs="Arial"/>
        </w:rPr>
      </w:pPr>
      <w:r>
        <w:rPr>
          <w:rFonts w:ascii="Arial" w:hAnsi="Arial" w:cs="Arial"/>
        </w:rPr>
        <w:t>8.1</w:t>
      </w:r>
      <w:r>
        <w:rPr>
          <w:rFonts w:ascii="Arial" w:hAnsi="Arial" w:cs="Arial"/>
        </w:rPr>
        <w:tab/>
        <w:t xml:space="preserve">Heads of Service and Head Teachers must ensure that its Departmental/School safer recruitment procedures and relevant codes of practice are made accessible to and are used by all staff involved in recruitment of employees, volunteers and engagement of contractors and agency workers.  </w:t>
      </w:r>
    </w:p>
    <w:p w14:paraId="39767196" w14:textId="77777777" w:rsidR="0048382E" w:rsidRDefault="0048382E" w:rsidP="0048382E">
      <w:pPr>
        <w:ind w:left="720" w:hanging="720"/>
        <w:jc w:val="both"/>
        <w:rPr>
          <w:rFonts w:ascii="Arial" w:hAnsi="Arial" w:cs="Arial"/>
        </w:rPr>
      </w:pPr>
    </w:p>
    <w:p w14:paraId="0FF06588" w14:textId="77777777" w:rsidR="0048382E" w:rsidRDefault="0048382E" w:rsidP="0048382E">
      <w:pPr>
        <w:ind w:left="720" w:hanging="720"/>
        <w:jc w:val="both"/>
        <w:rPr>
          <w:rFonts w:ascii="Arial" w:hAnsi="Arial" w:cs="Arial"/>
        </w:rPr>
      </w:pPr>
      <w:r>
        <w:rPr>
          <w:rFonts w:ascii="Arial" w:hAnsi="Arial" w:cs="Arial"/>
        </w:rPr>
        <w:t>8.2</w:t>
      </w:r>
      <w:r>
        <w:rPr>
          <w:rFonts w:ascii="Arial" w:hAnsi="Arial" w:cs="Arial"/>
        </w:rPr>
        <w:tab/>
        <w:t>All staff must attend appropriate recruitment and selection training including safer recruitment.</w:t>
      </w:r>
    </w:p>
    <w:p w14:paraId="1473C450" w14:textId="77777777" w:rsidR="0048382E" w:rsidRDefault="0048382E" w:rsidP="0048382E">
      <w:pPr>
        <w:ind w:left="720"/>
        <w:jc w:val="both"/>
        <w:rPr>
          <w:rFonts w:ascii="Arial" w:hAnsi="Arial" w:cs="Arial"/>
        </w:rPr>
      </w:pPr>
    </w:p>
    <w:p w14:paraId="5FAA159D" w14:textId="6871EBB1" w:rsidR="0048382E" w:rsidRDefault="0048382E" w:rsidP="00E4375A">
      <w:pPr>
        <w:ind w:left="720" w:hanging="720"/>
        <w:jc w:val="both"/>
        <w:rPr>
          <w:rFonts w:ascii="Arial" w:hAnsi="Arial" w:cs="Arial"/>
        </w:rPr>
      </w:pPr>
      <w:r>
        <w:rPr>
          <w:rFonts w:ascii="Arial" w:hAnsi="Arial" w:cs="Arial"/>
        </w:rPr>
        <w:t xml:space="preserve">8.3   </w:t>
      </w:r>
      <w:r w:rsidR="000F7046">
        <w:rPr>
          <w:rFonts w:ascii="Arial" w:hAnsi="Arial" w:cs="Arial"/>
        </w:rPr>
        <w:t xml:space="preserve"> </w:t>
      </w:r>
      <w:r>
        <w:rPr>
          <w:rFonts w:ascii="Arial" w:hAnsi="Arial" w:cs="Arial"/>
        </w:rPr>
        <w:t>The Operational Manager for Democratic services must ensure that all Councillor’s with responsibility for safeguarding are to receive appropriate induction and refresher training to facilitate the application of all necessary safeguarding measures.</w:t>
      </w:r>
    </w:p>
    <w:p w14:paraId="1B0C14C2" w14:textId="77777777" w:rsidR="0048382E" w:rsidRDefault="0048382E" w:rsidP="0048382E">
      <w:pPr>
        <w:jc w:val="both"/>
        <w:rPr>
          <w:rFonts w:ascii="Arial" w:hAnsi="Arial" w:cs="Arial"/>
        </w:rPr>
      </w:pPr>
    </w:p>
    <w:p w14:paraId="39851F75" w14:textId="77777777" w:rsidR="0048382E" w:rsidRDefault="0048382E" w:rsidP="0048382E">
      <w:pPr>
        <w:jc w:val="both"/>
      </w:pPr>
      <w:r>
        <w:rPr>
          <w:rFonts w:ascii="Arial" w:hAnsi="Arial" w:cs="Arial"/>
          <w:b/>
        </w:rPr>
        <w:lastRenderedPageBreak/>
        <w:t>9.0</w:t>
      </w:r>
      <w:r>
        <w:rPr>
          <w:rFonts w:ascii="Arial" w:hAnsi="Arial" w:cs="Arial"/>
          <w:b/>
        </w:rPr>
        <w:tab/>
      </w:r>
      <w:r>
        <w:rPr>
          <w:rFonts w:ascii="Arial" w:hAnsi="Arial" w:cs="Arial"/>
          <w:b/>
          <w:u w:val="single"/>
        </w:rPr>
        <w:t xml:space="preserve">Review and Monitoring Arrangements </w:t>
      </w:r>
    </w:p>
    <w:p w14:paraId="4314A232" w14:textId="77777777" w:rsidR="0048382E" w:rsidRDefault="0048382E" w:rsidP="0048382E">
      <w:pPr>
        <w:jc w:val="both"/>
        <w:rPr>
          <w:rFonts w:ascii="Arial" w:hAnsi="Arial" w:cs="Arial"/>
        </w:rPr>
      </w:pPr>
    </w:p>
    <w:p w14:paraId="029F25E0" w14:textId="3E6990DF" w:rsidR="000F7046" w:rsidRDefault="000F7046" w:rsidP="000F7046">
      <w:pPr>
        <w:pStyle w:val="ListParagraph"/>
        <w:numPr>
          <w:ilvl w:val="1"/>
          <w:numId w:val="10"/>
        </w:numPr>
        <w:jc w:val="both"/>
        <w:rPr>
          <w:rFonts w:ascii="Arial" w:hAnsi="Arial" w:cs="Arial"/>
        </w:rPr>
      </w:pPr>
      <w:r>
        <w:rPr>
          <w:rFonts w:ascii="Arial" w:hAnsi="Arial" w:cs="Arial"/>
        </w:rPr>
        <w:t xml:space="preserve">     </w:t>
      </w:r>
      <w:r w:rsidR="0048382E" w:rsidRPr="000F7046">
        <w:rPr>
          <w:rFonts w:ascii="Arial" w:hAnsi="Arial" w:cs="Arial"/>
        </w:rPr>
        <w:t xml:space="preserve">This policy will be reviewed to reflect imminent changes to the disclosure and barring arrangements and thereafter on a </w:t>
      </w:r>
      <w:r>
        <w:rPr>
          <w:rFonts w:ascii="Arial" w:hAnsi="Arial" w:cs="Arial"/>
        </w:rPr>
        <w:t xml:space="preserve">   </w:t>
      </w:r>
    </w:p>
    <w:p w14:paraId="3C36F78F" w14:textId="4A042096" w:rsidR="0048382E" w:rsidRPr="000F7046" w:rsidRDefault="000F7046" w:rsidP="000F7046">
      <w:pPr>
        <w:pStyle w:val="ListParagraph"/>
        <w:ind w:left="360"/>
        <w:jc w:val="both"/>
        <w:rPr>
          <w:rFonts w:ascii="Arial" w:hAnsi="Arial" w:cs="Arial"/>
        </w:rPr>
      </w:pPr>
      <w:r>
        <w:rPr>
          <w:rFonts w:ascii="Arial" w:hAnsi="Arial" w:cs="Arial"/>
        </w:rPr>
        <w:t xml:space="preserve">     </w:t>
      </w:r>
      <w:r w:rsidR="0048382E" w:rsidRPr="000F7046">
        <w:rPr>
          <w:rFonts w:ascii="Arial" w:hAnsi="Arial" w:cs="Arial"/>
        </w:rPr>
        <w:t>regular basis and in light of subsequent legislative changes</w:t>
      </w:r>
      <w:r w:rsidRPr="000F7046">
        <w:rPr>
          <w:rFonts w:ascii="Arial" w:hAnsi="Arial" w:cs="Arial"/>
        </w:rPr>
        <w:t xml:space="preserve">. </w:t>
      </w:r>
    </w:p>
    <w:p w14:paraId="2CBB7940" w14:textId="77777777" w:rsidR="000F7046" w:rsidRPr="000F7046" w:rsidRDefault="000F7046" w:rsidP="000F7046">
      <w:pPr>
        <w:pStyle w:val="ListParagraph"/>
        <w:ind w:left="360"/>
        <w:jc w:val="both"/>
        <w:rPr>
          <w:rFonts w:ascii="Arial" w:hAnsi="Arial" w:cs="Arial"/>
        </w:rPr>
      </w:pPr>
    </w:p>
    <w:p w14:paraId="23C40DCE" w14:textId="77777777" w:rsidR="001A45E3" w:rsidRDefault="0048382E" w:rsidP="0048382E">
      <w:pPr>
        <w:numPr>
          <w:ilvl w:val="1"/>
          <w:numId w:val="10"/>
        </w:numPr>
        <w:tabs>
          <w:tab w:val="left" w:pos="720"/>
        </w:tabs>
        <w:ind w:left="720" w:hanging="720"/>
        <w:jc w:val="both"/>
      </w:pPr>
      <w:r>
        <w:rPr>
          <w:rFonts w:ascii="Arial" w:hAnsi="Arial" w:cs="Arial"/>
        </w:rPr>
        <w:t>The application of the policy will be reviewed and monitored by Internal Audit as part of their scheduled audit programme.</w:t>
      </w:r>
    </w:p>
    <w:sectPr w:rsidR="001A45E3" w:rsidSect="000F7046">
      <w:headerReference w:type="even" r:id="rId14"/>
      <w:headerReference w:type="default" r:id="rId15"/>
      <w:footerReference w:type="even" r:id="rId16"/>
      <w:footerReference w:type="default" r:id="rId17"/>
      <w:headerReference w:type="first" r:id="rId18"/>
      <w:footerReference w:type="first" r:id="rId19"/>
      <w:pgSz w:w="13890" w:h="16838"/>
      <w:pgMar w:top="284" w:right="284" w:bottom="284" w:left="28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12D06" w14:textId="77777777" w:rsidR="00EE44BD" w:rsidRDefault="00EE44BD">
      <w:r>
        <w:separator/>
      </w:r>
    </w:p>
  </w:endnote>
  <w:endnote w:type="continuationSeparator" w:id="0">
    <w:p w14:paraId="0771C5B3" w14:textId="77777777" w:rsidR="00EE44BD" w:rsidRDefault="00EE4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44F85" w14:textId="77777777" w:rsidR="00674F6A" w:rsidRDefault="00674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034227"/>
      <w:docPartObj>
        <w:docPartGallery w:val="Page Numbers (Bottom of Page)"/>
        <w:docPartUnique/>
      </w:docPartObj>
    </w:sdtPr>
    <w:sdtEndPr>
      <w:rPr>
        <w:noProof/>
      </w:rPr>
    </w:sdtEndPr>
    <w:sdtContent>
      <w:p w14:paraId="3E9E904D" w14:textId="230F2B14" w:rsidR="00674F6A" w:rsidRDefault="00674F6A">
        <w:pPr>
          <w:pStyle w:val="Footer"/>
          <w:jc w:val="center"/>
        </w:pPr>
        <w:r>
          <w:fldChar w:fldCharType="begin"/>
        </w:r>
        <w:r>
          <w:instrText xml:space="preserve"> PAGE   \* MERGEFORMAT </w:instrText>
        </w:r>
        <w:r>
          <w:fldChar w:fldCharType="separate"/>
        </w:r>
        <w:r w:rsidR="00BC7D87">
          <w:rPr>
            <w:noProof/>
          </w:rPr>
          <w:t>1</w:t>
        </w:r>
        <w:r>
          <w:rPr>
            <w:noProof/>
          </w:rPr>
          <w:fldChar w:fldCharType="end"/>
        </w:r>
      </w:p>
    </w:sdtContent>
  </w:sdt>
  <w:p w14:paraId="23338AF0" w14:textId="73D32F0F" w:rsidR="00894AA2" w:rsidRDefault="00EE44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76019" w14:textId="77777777" w:rsidR="00674F6A" w:rsidRDefault="00674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342AC" w14:textId="77777777" w:rsidR="00EE44BD" w:rsidRDefault="00EE44BD">
      <w:r>
        <w:separator/>
      </w:r>
    </w:p>
  </w:footnote>
  <w:footnote w:type="continuationSeparator" w:id="0">
    <w:p w14:paraId="3BD138F1" w14:textId="77777777" w:rsidR="00EE44BD" w:rsidRDefault="00EE4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19C37" w14:textId="77777777" w:rsidR="00674F6A" w:rsidRDefault="00674F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E7507" w14:textId="7EB64723" w:rsidR="00894AA2" w:rsidRDefault="00EE44B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C55B5" w14:textId="77777777" w:rsidR="00674F6A" w:rsidRDefault="00674F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199A"/>
    <w:multiLevelType w:val="multilevel"/>
    <w:tmpl w:val="CCDCD41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A50B06"/>
    <w:multiLevelType w:val="multilevel"/>
    <w:tmpl w:val="16F057A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1E177C"/>
    <w:multiLevelType w:val="multilevel"/>
    <w:tmpl w:val="49FCD03A"/>
    <w:lvl w:ilvl="0">
      <w:start w:val="2"/>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2130684"/>
    <w:multiLevelType w:val="multilevel"/>
    <w:tmpl w:val="283E193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063207"/>
    <w:multiLevelType w:val="multilevel"/>
    <w:tmpl w:val="F6E43FC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1A72E0E"/>
    <w:multiLevelType w:val="multilevel"/>
    <w:tmpl w:val="2342194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2C1A27C2"/>
    <w:multiLevelType w:val="multilevel"/>
    <w:tmpl w:val="DC400588"/>
    <w:lvl w:ilvl="0">
      <w:start w:val="6"/>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366C04DE"/>
    <w:multiLevelType w:val="multilevel"/>
    <w:tmpl w:val="CDE67F3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8B53C1D"/>
    <w:multiLevelType w:val="multilevel"/>
    <w:tmpl w:val="EBFCE002"/>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3A050EBF"/>
    <w:multiLevelType w:val="multilevel"/>
    <w:tmpl w:val="CCE63822"/>
    <w:lvl w:ilvl="0">
      <w:start w:val="6"/>
      <w:numFmt w:val="decimal"/>
      <w:lvlText w:val="%1"/>
      <w:lvlJc w:val="left"/>
      <w:pPr>
        <w:ind w:left="360" w:hanging="360"/>
      </w:pPr>
      <w:rPr>
        <w:rFonts w:ascii="Arial" w:hAnsi="Arial" w:cs="Arial" w:hint="default"/>
      </w:rPr>
    </w:lvl>
    <w:lvl w:ilvl="1">
      <w:start w:val="8"/>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10" w15:restartNumberingAfterBreak="0">
    <w:nsid w:val="3DB15DD7"/>
    <w:multiLevelType w:val="multilevel"/>
    <w:tmpl w:val="8B1C4C16"/>
    <w:lvl w:ilvl="0">
      <w:start w:val="6"/>
      <w:numFmt w:val="decimal"/>
      <w:lvlText w:val="%1"/>
      <w:lvlJc w:val="left"/>
      <w:pPr>
        <w:ind w:left="465" w:hanging="465"/>
      </w:pPr>
    </w:lvl>
    <w:lvl w:ilvl="1">
      <w:start w:val="9"/>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40D5683A"/>
    <w:multiLevelType w:val="multilevel"/>
    <w:tmpl w:val="9814CFFC"/>
    <w:lvl w:ilvl="0">
      <w:numFmt w:val="bullet"/>
      <w:lvlText w:val=""/>
      <w:lvlJc w:val="left"/>
      <w:pPr>
        <w:ind w:left="1069" w:hanging="360"/>
      </w:pPr>
      <w:rPr>
        <w:rFonts w:ascii="Symbol" w:hAnsi="Symbol"/>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12" w15:restartNumberingAfterBreak="0">
    <w:nsid w:val="43D04F01"/>
    <w:multiLevelType w:val="multilevel"/>
    <w:tmpl w:val="20FCD2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7C644B3"/>
    <w:multiLevelType w:val="multilevel"/>
    <w:tmpl w:val="907A03F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112576C"/>
    <w:multiLevelType w:val="multilevel"/>
    <w:tmpl w:val="25E8B714"/>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E496E4F"/>
    <w:multiLevelType w:val="multilevel"/>
    <w:tmpl w:val="381E50C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64F3097B"/>
    <w:multiLevelType w:val="multilevel"/>
    <w:tmpl w:val="AFA25B82"/>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6D1B78F8"/>
    <w:multiLevelType w:val="multilevel"/>
    <w:tmpl w:val="0748AE2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4"/>
  </w:num>
  <w:num w:numId="3">
    <w:abstractNumId w:val="16"/>
  </w:num>
  <w:num w:numId="4">
    <w:abstractNumId w:val="2"/>
  </w:num>
  <w:num w:numId="5">
    <w:abstractNumId w:val="15"/>
  </w:num>
  <w:num w:numId="6">
    <w:abstractNumId w:val="11"/>
  </w:num>
  <w:num w:numId="7">
    <w:abstractNumId w:val="8"/>
  </w:num>
  <w:num w:numId="8">
    <w:abstractNumId w:val="6"/>
  </w:num>
  <w:num w:numId="9">
    <w:abstractNumId w:val="10"/>
  </w:num>
  <w:num w:numId="10">
    <w:abstractNumId w:val="5"/>
  </w:num>
  <w:num w:numId="11">
    <w:abstractNumId w:val="13"/>
  </w:num>
  <w:num w:numId="12">
    <w:abstractNumId w:val="12"/>
  </w:num>
  <w:num w:numId="13">
    <w:abstractNumId w:val="17"/>
  </w:num>
  <w:num w:numId="14">
    <w:abstractNumId w:val="3"/>
  </w:num>
  <w:num w:numId="15">
    <w:abstractNumId w:val="9"/>
  </w:num>
  <w:num w:numId="16">
    <w:abstractNumId w:val="14"/>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82E"/>
    <w:rsid w:val="000333C5"/>
    <w:rsid w:val="00046CCE"/>
    <w:rsid w:val="000F7046"/>
    <w:rsid w:val="00286C49"/>
    <w:rsid w:val="0048382E"/>
    <w:rsid w:val="004D7A8D"/>
    <w:rsid w:val="00674F6A"/>
    <w:rsid w:val="00711EAB"/>
    <w:rsid w:val="0074079C"/>
    <w:rsid w:val="00771EDD"/>
    <w:rsid w:val="008343C7"/>
    <w:rsid w:val="008416D5"/>
    <w:rsid w:val="00866883"/>
    <w:rsid w:val="00987258"/>
    <w:rsid w:val="00A44BB3"/>
    <w:rsid w:val="00A87F56"/>
    <w:rsid w:val="00A938A5"/>
    <w:rsid w:val="00AA6A9F"/>
    <w:rsid w:val="00AB02B1"/>
    <w:rsid w:val="00B030D7"/>
    <w:rsid w:val="00B2274A"/>
    <w:rsid w:val="00B32DE2"/>
    <w:rsid w:val="00B81F95"/>
    <w:rsid w:val="00B879E5"/>
    <w:rsid w:val="00BC7D87"/>
    <w:rsid w:val="00BF7050"/>
    <w:rsid w:val="00C2306B"/>
    <w:rsid w:val="00E4375A"/>
    <w:rsid w:val="00EE44BD"/>
    <w:rsid w:val="00F75338"/>
    <w:rsid w:val="00FE5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2E225"/>
  <w15:chartTrackingRefBased/>
  <w15:docId w15:val="{501D54AF-22BD-4165-8062-8F88793D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82E"/>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48382E"/>
    <w:pPr>
      <w:keepNext/>
      <w:jc w:val="both"/>
      <w:outlineLvl w:val="0"/>
    </w:pPr>
    <w:rPr>
      <w:rFonts w:ascii="Arial" w:hAnsi="Arial" w:cs="Arial"/>
      <w:b/>
      <w:bCs/>
      <w:lang w:eastAsia="en-US"/>
    </w:rPr>
  </w:style>
  <w:style w:type="paragraph" w:styleId="Heading2">
    <w:name w:val="heading 2"/>
    <w:basedOn w:val="Normal"/>
    <w:next w:val="Normal"/>
    <w:link w:val="Heading2Char"/>
    <w:uiPriority w:val="9"/>
    <w:unhideWhenUsed/>
    <w:qFormat/>
    <w:rsid w:val="0048382E"/>
    <w:pPr>
      <w:keepNext/>
      <w:jc w:val="both"/>
      <w:outlineLvl w:val="1"/>
    </w:pPr>
    <w:rPr>
      <w:rFonts w:ascii="Arial" w:hAnsi="Arial" w:cs="Arial"/>
      <w:b/>
      <w:bCs/>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82E"/>
    <w:rPr>
      <w:rFonts w:ascii="Arial" w:eastAsia="Times New Roman" w:hAnsi="Arial" w:cs="Arial"/>
      <w:b/>
      <w:bCs/>
      <w:sz w:val="24"/>
      <w:szCs w:val="24"/>
    </w:rPr>
  </w:style>
  <w:style w:type="character" w:customStyle="1" w:styleId="Heading2Char">
    <w:name w:val="Heading 2 Char"/>
    <w:basedOn w:val="DefaultParagraphFont"/>
    <w:link w:val="Heading2"/>
    <w:uiPriority w:val="9"/>
    <w:rsid w:val="0048382E"/>
    <w:rPr>
      <w:rFonts w:ascii="Arial" w:eastAsia="Times New Roman" w:hAnsi="Arial" w:cs="Arial"/>
      <w:b/>
      <w:bCs/>
      <w:sz w:val="24"/>
      <w:szCs w:val="24"/>
      <w:u w:val="single"/>
    </w:rPr>
  </w:style>
  <w:style w:type="paragraph" w:customStyle="1" w:styleId="Default">
    <w:name w:val="Default"/>
    <w:rsid w:val="0048382E"/>
    <w:pPr>
      <w:suppressAutoHyphens/>
      <w:autoSpaceDE w:val="0"/>
      <w:autoSpaceDN w:val="0"/>
      <w:spacing w:after="0" w:line="240" w:lineRule="auto"/>
      <w:textAlignment w:val="baseline"/>
    </w:pPr>
    <w:rPr>
      <w:rFonts w:ascii="Arial" w:eastAsia="Times New Roman" w:hAnsi="Arial" w:cs="Arial"/>
      <w:color w:val="000000"/>
      <w:sz w:val="24"/>
      <w:szCs w:val="24"/>
      <w:lang w:eastAsia="en-GB"/>
    </w:rPr>
  </w:style>
  <w:style w:type="paragraph" w:styleId="Footer">
    <w:name w:val="footer"/>
    <w:basedOn w:val="Normal"/>
    <w:link w:val="FooterChar"/>
    <w:uiPriority w:val="99"/>
    <w:rsid w:val="0048382E"/>
    <w:pPr>
      <w:tabs>
        <w:tab w:val="center" w:pos="4153"/>
        <w:tab w:val="right" w:pos="8306"/>
      </w:tabs>
    </w:pPr>
  </w:style>
  <w:style w:type="character" w:customStyle="1" w:styleId="FooterChar">
    <w:name w:val="Footer Char"/>
    <w:basedOn w:val="DefaultParagraphFont"/>
    <w:link w:val="Footer"/>
    <w:uiPriority w:val="99"/>
    <w:rsid w:val="0048382E"/>
    <w:rPr>
      <w:rFonts w:ascii="Times New Roman" w:eastAsia="Times New Roman" w:hAnsi="Times New Roman" w:cs="Times New Roman"/>
      <w:sz w:val="24"/>
      <w:szCs w:val="24"/>
      <w:lang w:eastAsia="en-GB"/>
    </w:rPr>
  </w:style>
  <w:style w:type="character" w:styleId="PageNumber">
    <w:name w:val="page number"/>
    <w:basedOn w:val="DefaultParagraphFont"/>
    <w:rsid w:val="0048382E"/>
  </w:style>
  <w:style w:type="paragraph" w:styleId="Header">
    <w:name w:val="header"/>
    <w:basedOn w:val="Normal"/>
    <w:link w:val="HeaderChar"/>
    <w:rsid w:val="0048382E"/>
    <w:pPr>
      <w:tabs>
        <w:tab w:val="center" w:pos="4153"/>
        <w:tab w:val="right" w:pos="8306"/>
      </w:tabs>
    </w:pPr>
  </w:style>
  <w:style w:type="character" w:customStyle="1" w:styleId="HeaderChar">
    <w:name w:val="Header Char"/>
    <w:basedOn w:val="DefaultParagraphFont"/>
    <w:link w:val="Header"/>
    <w:rsid w:val="0048382E"/>
    <w:rPr>
      <w:rFonts w:ascii="Times New Roman" w:eastAsia="Times New Roman" w:hAnsi="Times New Roman" w:cs="Times New Roman"/>
      <w:sz w:val="24"/>
      <w:szCs w:val="24"/>
      <w:lang w:eastAsia="en-GB"/>
    </w:rPr>
  </w:style>
  <w:style w:type="paragraph" w:styleId="ListParagraph">
    <w:name w:val="List Paragraph"/>
    <w:basedOn w:val="Normal"/>
    <w:rsid w:val="0048382E"/>
    <w:pPr>
      <w:ind w:left="720"/>
    </w:pPr>
  </w:style>
  <w:style w:type="character" w:styleId="Hyperlink">
    <w:name w:val="Hyperlink"/>
    <w:rsid w:val="0048382E"/>
    <w:rPr>
      <w:color w:val="0000FF"/>
      <w:u w:val="single"/>
    </w:rPr>
  </w:style>
  <w:style w:type="paragraph" w:styleId="BalloonText">
    <w:name w:val="Balloon Text"/>
    <w:basedOn w:val="Normal"/>
    <w:link w:val="BalloonTextChar"/>
    <w:uiPriority w:val="99"/>
    <w:semiHidden/>
    <w:unhideWhenUsed/>
    <w:rsid w:val="004838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82E"/>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8416D5"/>
    <w:rPr>
      <w:sz w:val="16"/>
      <w:szCs w:val="16"/>
    </w:rPr>
  </w:style>
  <w:style w:type="paragraph" w:styleId="CommentText">
    <w:name w:val="annotation text"/>
    <w:basedOn w:val="Normal"/>
    <w:link w:val="CommentTextChar"/>
    <w:uiPriority w:val="99"/>
    <w:semiHidden/>
    <w:unhideWhenUsed/>
    <w:rsid w:val="008416D5"/>
    <w:rPr>
      <w:sz w:val="20"/>
      <w:szCs w:val="20"/>
    </w:rPr>
  </w:style>
  <w:style w:type="character" w:customStyle="1" w:styleId="CommentTextChar">
    <w:name w:val="Comment Text Char"/>
    <w:basedOn w:val="DefaultParagraphFont"/>
    <w:link w:val="CommentText"/>
    <w:uiPriority w:val="99"/>
    <w:semiHidden/>
    <w:rsid w:val="008416D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416D5"/>
    <w:rPr>
      <w:b/>
      <w:bCs/>
    </w:rPr>
  </w:style>
  <w:style w:type="character" w:customStyle="1" w:styleId="CommentSubjectChar">
    <w:name w:val="Comment Subject Char"/>
    <w:basedOn w:val="CommentTextChar"/>
    <w:link w:val="CommentSubject"/>
    <w:uiPriority w:val="99"/>
    <w:semiHidden/>
    <w:rsid w:val="008416D5"/>
    <w:rPr>
      <w:rFonts w:ascii="Times New Roman" w:eastAsia="Times New Roman" w:hAnsi="Times New Roman" w:cs="Times New Roman"/>
      <w:b/>
      <w:bCs/>
      <w:sz w:val="20"/>
      <w:szCs w:val="20"/>
      <w:lang w:eastAsia="en-GB"/>
    </w:rPr>
  </w:style>
  <w:style w:type="paragraph" w:styleId="Revision">
    <w:name w:val="Revision"/>
    <w:hidden/>
    <w:uiPriority w:val="99"/>
    <w:semiHidden/>
    <w:rsid w:val="00BF7050"/>
    <w:pPr>
      <w:spacing w:after="0"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BF7050"/>
    <w:rPr>
      <w:color w:val="605E5C"/>
      <w:shd w:val="clear" w:color="auto" w:fill="E1DFDD"/>
    </w:rPr>
  </w:style>
  <w:style w:type="character" w:styleId="FollowedHyperlink">
    <w:name w:val="FollowedHyperlink"/>
    <w:basedOn w:val="DefaultParagraphFont"/>
    <w:uiPriority w:val="99"/>
    <w:semiHidden/>
    <w:unhideWhenUsed/>
    <w:rsid w:val="00BF70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affnet.valeofglamorgan.gov.uk/Staff-Central/Human-Resources/Employee-Services/Recruitment/Disclosure-and-Barring-Service.asp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publications/dbs-guidance-leaflet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80E06-0DAB-467E-8771-25820777F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2000</Words>
  <Characters>11402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Watkins, Alyson</dc:creator>
  <cp:keywords/>
  <dc:description/>
  <cp:lastModifiedBy>Headteacher</cp:lastModifiedBy>
  <cp:revision>2</cp:revision>
  <dcterms:created xsi:type="dcterms:W3CDTF">2023-02-03T10:16:00Z</dcterms:created>
  <dcterms:modified xsi:type="dcterms:W3CDTF">2023-02-03T10:16:00Z</dcterms:modified>
</cp:coreProperties>
</file>